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2B65C6" w:rsidRPr="00F608A4" w:rsidRDefault="00C962EA" w:rsidP="00F608A4">
      <w:pPr>
        <w:spacing w:line="480" w:lineRule="auto"/>
        <w:jc w:val="center"/>
        <w:rPr>
          <w:rFonts w:ascii="Times New Roman" w:hAnsi="Times New Roman" w:cs="Times New Roman"/>
          <w:sz w:val="24"/>
          <w:szCs w:val="24"/>
        </w:rPr>
      </w:pPr>
      <w:r w:rsidRPr="00F608A4">
        <w:rPr>
          <w:rFonts w:ascii="Times New Roman" w:hAnsi="Times New Roman" w:cs="Times New Roman"/>
          <w:sz w:val="24"/>
          <w:szCs w:val="24"/>
        </w:rPr>
        <w:t>Company Description, Distribution Strategy, S.W.O.T Analysis, and Risk Management Plan</w:t>
      </w:r>
    </w:p>
    <w:p w:rsidR="00F608A4" w:rsidRPr="00F608A4" w:rsidRDefault="00F608A4" w:rsidP="00F608A4">
      <w:pPr>
        <w:spacing w:line="480" w:lineRule="auto"/>
        <w:jc w:val="center"/>
        <w:rPr>
          <w:rFonts w:ascii="Times New Roman" w:hAnsi="Times New Roman" w:cs="Times New Roman"/>
          <w:sz w:val="24"/>
          <w:szCs w:val="24"/>
        </w:rPr>
      </w:pPr>
      <w:r w:rsidRPr="00F608A4">
        <w:rPr>
          <w:rFonts w:ascii="Times New Roman" w:hAnsi="Times New Roman" w:cs="Times New Roman"/>
          <w:sz w:val="24"/>
          <w:szCs w:val="24"/>
        </w:rPr>
        <w:t>Name</w:t>
      </w:r>
    </w:p>
    <w:p w:rsidR="00F608A4" w:rsidRPr="00F608A4" w:rsidRDefault="00F608A4" w:rsidP="00F608A4">
      <w:pPr>
        <w:spacing w:line="480" w:lineRule="auto"/>
        <w:jc w:val="center"/>
        <w:rPr>
          <w:rFonts w:ascii="Times New Roman" w:hAnsi="Times New Roman" w:cs="Times New Roman"/>
          <w:sz w:val="24"/>
          <w:szCs w:val="24"/>
        </w:rPr>
      </w:pPr>
      <w:r w:rsidRPr="00F608A4">
        <w:rPr>
          <w:rFonts w:ascii="Times New Roman" w:hAnsi="Times New Roman" w:cs="Times New Roman"/>
          <w:sz w:val="24"/>
          <w:szCs w:val="24"/>
        </w:rPr>
        <w:t>Institution</w:t>
      </w:r>
    </w:p>
    <w:p w:rsidR="00F608A4" w:rsidRPr="00F608A4" w:rsidRDefault="00F608A4" w:rsidP="00F608A4">
      <w:pPr>
        <w:spacing w:line="480" w:lineRule="auto"/>
        <w:jc w:val="center"/>
        <w:rPr>
          <w:rFonts w:ascii="Times New Roman" w:hAnsi="Times New Roman" w:cs="Times New Roman"/>
          <w:sz w:val="24"/>
          <w:szCs w:val="24"/>
        </w:rPr>
      </w:pPr>
      <w:r w:rsidRPr="00F608A4">
        <w:rPr>
          <w:rFonts w:ascii="Times New Roman" w:hAnsi="Times New Roman" w:cs="Times New Roman"/>
          <w:sz w:val="24"/>
          <w:szCs w:val="24"/>
        </w:rPr>
        <w:t>Date</w:t>
      </w: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Default="00F608A4" w:rsidP="00F608A4">
      <w:pPr>
        <w:spacing w:line="480" w:lineRule="auto"/>
        <w:jc w:val="center"/>
        <w:rPr>
          <w:rFonts w:ascii="Times New Roman" w:hAnsi="Times New Roman" w:cs="Times New Roman"/>
          <w:sz w:val="24"/>
          <w:szCs w:val="24"/>
        </w:rPr>
      </w:pPr>
    </w:p>
    <w:p w:rsidR="00F608A4" w:rsidRPr="00F608A4" w:rsidRDefault="00F608A4" w:rsidP="00F608A4">
      <w:pPr>
        <w:spacing w:line="480" w:lineRule="auto"/>
        <w:jc w:val="center"/>
        <w:rPr>
          <w:rFonts w:ascii="Times New Roman" w:hAnsi="Times New Roman" w:cs="Times New Roman"/>
          <w:sz w:val="24"/>
          <w:szCs w:val="24"/>
        </w:rPr>
      </w:pPr>
      <w:r w:rsidRPr="00F608A4">
        <w:rPr>
          <w:rFonts w:ascii="Times New Roman" w:hAnsi="Times New Roman" w:cs="Times New Roman"/>
          <w:sz w:val="24"/>
          <w:szCs w:val="24"/>
        </w:rPr>
        <w:lastRenderedPageBreak/>
        <w:t>Company Description, Distribution Strategy, S.W.O.T Analysis, and Risk Management Plan</w:t>
      </w:r>
    </w:p>
    <w:p w:rsidR="00BD3239" w:rsidRDefault="005D07EE" w:rsidP="003E553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1:</w:t>
      </w:r>
      <w:r w:rsidR="00BD3239">
        <w:rPr>
          <w:rFonts w:ascii="Times New Roman" w:hAnsi="Times New Roman" w:cs="Times New Roman"/>
          <w:b/>
          <w:sz w:val="24"/>
          <w:szCs w:val="24"/>
        </w:rPr>
        <w:t xml:space="preserve"> Company Description</w:t>
      </w:r>
    </w:p>
    <w:p w:rsidR="00E00FB5" w:rsidRPr="00E00FB5" w:rsidRDefault="00E00FB5" w:rsidP="00E00FB5">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Brief Introduction of </w:t>
      </w:r>
      <w:proofErr w:type="spellStart"/>
      <w:r>
        <w:rPr>
          <w:rFonts w:ascii="Times New Roman" w:hAnsi="Times New Roman" w:cs="Times New Roman"/>
          <w:b/>
          <w:sz w:val="24"/>
          <w:szCs w:val="24"/>
        </w:rPr>
        <w:t>Kevian</w:t>
      </w:r>
      <w:proofErr w:type="spellEnd"/>
      <w:r>
        <w:rPr>
          <w:rFonts w:ascii="Times New Roman" w:hAnsi="Times New Roman" w:cs="Times New Roman"/>
          <w:b/>
          <w:sz w:val="24"/>
          <w:szCs w:val="24"/>
        </w:rPr>
        <w:t xml:space="preserve"> Beverage Company</w:t>
      </w:r>
    </w:p>
    <w:p w:rsidR="00293CB4" w:rsidRPr="00293CB4" w:rsidRDefault="00BD3239" w:rsidP="00293CB4">
      <w:pPr>
        <w:spacing w:line="480" w:lineRule="auto"/>
        <w:rPr>
          <w:rFonts w:ascii="Times New Roman" w:hAnsi="Times New Roman" w:cs="Times New Roman"/>
          <w:sz w:val="24"/>
          <w:szCs w:val="24"/>
        </w:rPr>
      </w:pPr>
      <w:r>
        <w:rPr>
          <w:rFonts w:ascii="Times New Roman" w:hAnsi="Times New Roman" w:cs="Times New Roman"/>
          <w:sz w:val="24"/>
          <w:szCs w:val="24"/>
        </w:rPr>
        <w:tab/>
      </w:r>
      <w:r w:rsidR="00A9325C">
        <w:rPr>
          <w:rFonts w:ascii="Times New Roman" w:hAnsi="Times New Roman" w:cs="Times New Roman"/>
          <w:sz w:val="24"/>
          <w:szCs w:val="24"/>
        </w:rPr>
        <w:t xml:space="preserve"> </w:t>
      </w:r>
      <w:proofErr w:type="spellStart"/>
      <w:r w:rsidR="00293CB4" w:rsidRPr="00293CB4">
        <w:rPr>
          <w:rFonts w:ascii="Times New Roman" w:hAnsi="Times New Roman" w:cs="Times New Roman"/>
          <w:sz w:val="24"/>
          <w:szCs w:val="24"/>
        </w:rPr>
        <w:t>Kevian</w:t>
      </w:r>
      <w:proofErr w:type="spellEnd"/>
      <w:r w:rsidR="00293CB4" w:rsidRPr="00293CB4">
        <w:rPr>
          <w:rFonts w:ascii="Times New Roman" w:hAnsi="Times New Roman" w:cs="Times New Roman"/>
          <w:sz w:val="24"/>
          <w:szCs w:val="24"/>
        </w:rPr>
        <w:t xml:space="preserve"> Beverages Company is a medium soft drink entity in the Midwest region that commits to integrate the core strategic management concepts that include a mission statement, product development, and environmental scanning. The company merits because of its brand-name ‘</w:t>
      </w:r>
      <w:proofErr w:type="spellStart"/>
      <w:r w:rsidR="00293CB4" w:rsidRPr="00293CB4">
        <w:rPr>
          <w:rFonts w:ascii="Times New Roman" w:hAnsi="Times New Roman" w:cs="Times New Roman"/>
          <w:sz w:val="24"/>
          <w:szCs w:val="24"/>
        </w:rPr>
        <w:t>Kevian</w:t>
      </w:r>
      <w:proofErr w:type="spellEnd"/>
      <w:r w:rsidR="00293CB4" w:rsidRPr="00293CB4">
        <w:rPr>
          <w:rFonts w:ascii="Times New Roman" w:hAnsi="Times New Roman" w:cs="Times New Roman"/>
          <w:sz w:val="24"/>
          <w:szCs w:val="24"/>
        </w:rPr>
        <w:t xml:space="preserve"> Beverage Company’, which position the firm as a household entity. The company name also merits because it instills positive perceptions among the domestic users using an easy-to-relate brand name. </w:t>
      </w:r>
    </w:p>
    <w:p w:rsidR="00293CB4" w:rsidRPr="00293CB4" w:rsidRDefault="00293CB4" w:rsidP="00F50B4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t xml:space="preserve">Specifically, the company core competencies relate to the diverse and unique product portfolios that accord the firm a market leadership role in the provision of soft-drink beverages. The core product brands include the Highland Juices, </w:t>
      </w:r>
      <w:proofErr w:type="spellStart"/>
      <w:r w:rsidRPr="00293CB4">
        <w:rPr>
          <w:rFonts w:ascii="Times New Roman" w:hAnsi="Times New Roman" w:cs="Times New Roman"/>
          <w:sz w:val="24"/>
          <w:szCs w:val="24"/>
        </w:rPr>
        <w:t>Afia</w:t>
      </w:r>
      <w:proofErr w:type="spellEnd"/>
      <w:r w:rsidRPr="00293CB4">
        <w:rPr>
          <w:rFonts w:ascii="Times New Roman" w:hAnsi="Times New Roman" w:cs="Times New Roman"/>
          <w:sz w:val="24"/>
          <w:szCs w:val="24"/>
        </w:rPr>
        <w:t xml:space="preserve"> Energy Drink, Fruit Juices with </w:t>
      </w:r>
      <w:proofErr w:type="spellStart"/>
      <w:r w:rsidRPr="00293CB4">
        <w:rPr>
          <w:rFonts w:ascii="Times New Roman" w:hAnsi="Times New Roman" w:cs="Times New Roman"/>
          <w:sz w:val="24"/>
          <w:szCs w:val="24"/>
        </w:rPr>
        <w:t>Tangawizi</w:t>
      </w:r>
      <w:proofErr w:type="spellEnd"/>
      <w:r w:rsidRPr="00293CB4">
        <w:rPr>
          <w:rFonts w:ascii="Times New Roman" w:hAnsi="Times New Roman" w:cs="Times New Roman"/>
          <w:sz w:val="24"/>
          <w:szCs w:val="24"/>
        </w:rPr>
        <w:t xml:space="preserve"> Variants, and Club Soda. Continuous adoption of technological advancements has been a critical competency that enhances the unique brand portfolio to hedge against the cutthroat competition (Hill, Schilling, &amp; Jones, 2017). Moreover, strategic diversification merits because it facilitates the company to expand its consumer segments and guarantee a return on investment for the shareholders. </w:t>
      </w:r>
    </w:p>
    <w:p w:rsidR="00293CB4" w:rsidRPr="00F50B42" w:rsidRDefault="00293CB4" w:rsidP="00293CB4">
      <w:pPr>
        <w:spacing w:line="480" w:lineRule="auto"/>
        <w:rPr>
          <w:rFonts w:ascii="Times New Roman" w:hAnsi="Times New Roman" w:cs="Times New Roman"/>
          <w:b/>
          <w:sz w:val="24"/>
          <w:szCs w:val="24"/>
        </w:rPr>
      </w:pPr>
      <w:r w:rsidRPr="00293CB4">
        <w:rPr>
          <w:rFonts w:ascii="Times New Roman" w:hAnsi="Times New Roman" w:cs="Times New Roman"/>
          <w:sz w:val="24"/>
          <w:szCs w:val="24"/>
        </w:rPr>
        <w:t xml:space="preserve"> </w:t>
      </w:r>
      <w:r w:rsidRPr="00F50B42">
        <w:rPr>
          <w:rFonts w:ascii="Times New Roman" w:hAnsi="Times New Roman" w:cs="Times New Roman"/>
          <w:b/>
          <w:sz w:val="24"/>
          <w:szCs w:val="24"/>
        </w:rPr>
        <w:t xml:space="preserve">Mission Statement </w:t>
      </w:r>
    </w:p>
    <w:p w:rsidR="00293CB4" w:rsidRPr="00293CB4" w:rsidRDefault="00293CB4" w:rsidP="00F50B4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t xml:space="preserve">Moreover, </w:t>
      </w:r>
      <w:proofErr w:type="spellStart"/>
      <w:r w:rsidRPr="00293CB4">
        <w:rPr>
          <w:rFonts w:ascii="Times New Roman" w:hAnsi="Times New Roman" w:cs="Times New Roman"/>
          <w:sz w:val="24"/>
          <w:szCs w:val="24"/>
        </w:rPr>
        <w:t>Kevian</w:t>
      </w:r>
      <w:proofErr w:type="spellEnd"/>
      <w:r w:rsidRPr="00293CB4">
        <w:rPr>
          <w:rFonts w:ascii="Times New Roman" w:hAnsi="Times New Roman" w:cs="Times New Roman"/>
          <w:sz w:val="24"/>
          <w:szCs w:val="24"/>
        </w:rPr>
        <w:t xml:space="preserve"> Beverage Company strives to integrate myriad competencies and philosophical values using a standout mission statement. </w:t>
      </w:r>
      <w:proofErr w:type="spellStart"/>
      <w:r w:rsidRPr="00293CB4">
        <w:rPr>
          <w:rFonts w:ascii="Times New Roman" w:hAnsi="Times New Roman" w:cs="Times New Roman"/>
          <w:sz w:val="24"/>
          <w:szCs w:val="24"/>
        </w:rPr>
        <w:t>Kevian</w:t>
      </w:r>
      <w:proofErr w:type="spellEnd"/>
      <w:r w:rsidRPr="00293CB4">
        <w:rPr>
          <w:rFonts w:ascii="Times New Roman" w:hAnsi="Times New Roman" w:cs="Times New Roman"/>
          <w:sz w:val="24"/>
          <w:szCs w:val="24"/>
        </w:rPr>
        <w:t xml:space="preserve"> Beverage Company commits to embracing innovation, achieve a consumer-centric philosophy, and devise sustainable business </w:t>
      </w:r>
      <w:r w:rsidRPr="00293CB4">
        <w:rPr>
          <w:rFonts w:ascii="Times New Roman" w:hAnsi="Times New Roman" w:cs="Times New Roman"/>
          <w:sz w:val="24"/>
          <w:szCs w:val="24"/>
        </w:rPr>
        <w:lastRenderedPageBreak/>
        <w:t>models. The firm’s mission statement strives to communicate the three pillars, which include innovation, customer-focused, and sustainability to the internal and external stakeholders with the least ambiguities (Kirkpatrick, 2016). “</w:t>
      </w:r>
      <w:r w:rsidRPr="00CC250B">
        <w:rPr>
          <w:rFonts w:ascii="Times New Roman" w:hAnsi="Times New Roman" w:cs="Times New Roman"/>
          <w:i/>
          <w:sz w:val="24"/>
          <w:szCs w:val="24"/>
        </w:rPr>
        <w:t>To avail healthy soft drink beverages using the modern technologies and respond to the changing consumer paradigms with an aim to guarantee satisfaction from our esteemed stakeholders</w:t>
      </w:r>
      <w:r w:rsidRPr="00293CB4">
        <w:rPr>
          <w:rFonts w:ascii="Times New Roman" w:hAnsi="Times New Roman" w:cs="Times New Roman"/>
          <w:sz w:val="24"/>
          <w:szCs w:val="24"/>
        </w:rPr>
        <w:t>.</w:t>
      </w:r>
      <w:r w:rsidR="00CC250B">
        <w:rPr>
          <w:rFonts w:ascii="Times New Roman" w:hAnsi="Times New Roman" w:cs="Times New Roman"/>
          <w:sz w:val="24"/>
          <w:szCs w:val="24"/>
        </w:rPr>
        <w:t>”</w:t>
      </w:r>
      <w:r w:rsidRPr="00293CB4">
        <w:rPr>
          <w:rFonts w:ascii="Times New Roman" w:hAnsi="Times New Roman" w:cs="Times New Roman"/>
          <w:sz w:val="24"/>
          <w:szCs w:val="24"/>
        </w:rPr>
        <w:t xml:space="preserve"> </w:t>
      </w:r>
    </w:p>
    <w:p w:rsidR="00293CB4" w:rsidRPr="00293CB4" w:rsidRDefault="00293CB4" w:rsidP="00F50B4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t xml:space="preserve">Moreover, the mission statement aims to influence the core organization dimensions that include sustaining robust philosophical perspectives among the stakeholders. The notable areas that harness positive dimensions relate to the nature of production, quality commitments, management style, pricing, and customer relationship management systems. Consequently, </w:t>
      </w:r>
      <w:proofErr w:type="spellStart"/>
      <w:r w:rsidRPr="00293CB4">
        <w:rPr>
          <w:rFonts w:ascii="Times New Roman" w:hAnsi="Times New Roman" w:cs="Times New Roman"/>
          <w:sz w:val="24"/>
          <w:szCs w:val="24"/>
        </w:rPr>
        <w:t>Kevian</w:t>
      </w:r>
      <w:proofErr w:type="spellEnd"/>
      <w:r w:rsidRPr="00293CB4">
        <w:rPr>
          <w:rFonts w:ascii="Times New Roman" w:hAnsi="Times New Roman" w:cs="Times New Roman"/>
          <w:sz w:val="24"/>
          <w:szCs w:val="24"/>
        </w:rPr>
        <w:t xml:space="preserve"> Beverage commits to provide quality soft-drink products to the consumers using technological advancement, prompt response to consumers’ concerns, and guarantee affordability among the myriad clusters of consumer segments. </w:t>
      </w:r>
    </w:p>
    <w:p w:rsidR="00293CB4" w:rsidRPr="00F50B42" w:rsidRDefault="00293CB4" w:rsidP="00293CB4">
      <w:pPr>
        <w:spacing w:line="480" w:lineRule="auto"/>
        <w:rPr>
          <w:rFonts w:ascii="Times New Roman" w:hAnsi="Times New Roman" w:cs="Times New Roman"/>
          <w:b/>
          <w:sz w:val="24"/>
          <w:szCs w:val="24"/>
        </w:rPr>
      </w:pPr>
      <w:r w:rsidRPr="00F50B42">
        <w:rPr>
          <w:rFonts w:ascii="Times New Roman" w:hAnsi="Times New Roman" w:cs="Times New Roman"/>
          <w:b/>
          <w:sz w:val="24"/>
          <w:szCs w:val="24"/>
        </w:rPr>
        <w:t xml:space="preserve">Trends in the U.S. Soft-drink Industry </w:t>
      </w:r>
    </w:p>
    <w:p w:rsidR="00293CB4" w:rsidRPr="00293CB4" w:rsidRDefault="00293CB4" w:rsidP="00F50B4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t xml:space="preserve">The U.S. soft-drink industry has apparent mixed trends because of the dynamic changes in the external, intermediate, and internal environmental parameters. Notable positive paradigm shifts endeavors to sustain profitability. An official study reveals the industry growth in 2016 was $253.7 Billion with an estimated 5.1% CAGR (Grade View Research, 2018). The rise in disposable income among the consumers accords the entrepreneurs with opportunities to venture into premium and natural beverages (ibid). Equally, steady technological advancements have positive effects because of the reduction of production cost, marketing, and innovative features to attract new consumer segments. </w:t>
      </w:r>
    </w:p>
    <w:p w:rsidR="00AF0675" w:rsidRDefault="00293CB4" w:rsidP="00F50B4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lastRenderedPageBreak/>
        <w:t>However, sweetened beverages have experienced dwindling fortunes compared to the natural and organic beverages because of the escalating consumer awareness about a healthy lifestyle. For example, the U.S. Food &amp;Drug Administration recommended for a reduction in average consumption of soda and other sweetened drinks among the American consumers, which had adverse sales ramification in the industry (</w:t>
      </w:r>
      <w:proofErr w:type="spellStart"/>
      <w:r w:rsidRPr="00293CB4">
        <w:rPr>
          <w:rFonts w:ascii="Times New Roman" w:hAnsi="Times New Roman" w:cs="Times New Roman"/>
          <w:sz w:val="24"/>
          <w:szCs w:val="24"/>
        </w:rPr>
        <w:t>Mudde</w:t>
      </w:r>
      <w:proofErr w:type="spellEnd"/>
      <w:r w:rsidRPr="00293CB4">
        <w:rPr>
          <w:rFonts w:ascii="Times New Roman" w:hAnsi="Times New Roman" w:cs="Times New Roman"/>
          <w:sz w:val="24"/>
          <w:szCs w:val="24"/>
        </w:rPr>
        <w:t>, 2018). Other international agencies that include the World Health Organization (WHO) proposed an implementation of sugar-tax to alleviate the escalating obesity menace, which has deteriorating effects toward the sales of sugar-rich beverages (ibid). The adverse trends influence modification of the corporate growth strategies because of the dwindling performance among the affected beverage portfolios.</w:t>
      </w:r>
    </w:p>
    <w:p w:rsidR="00A8795A" w:rsidRDefault="00B9283B" w:rsidP="00BD3239">
      <w:pPr>
        <w:spacing w:line="480" w:lineRule="auto"/>
        <w:rPr>
          <w:rFonts w:ascii="Times New Roman" w:hAnsi="Times New Roman" w:cs="Times New Roman"/>
          <w:b/>
          <w:sz w:val="24"/>
          <w:szCs w:val="24"/>
        </w:rPr>
      </w:pPr>
      <w:r>
        <w:rPr>
          <w:rFonts w:ascii="Times New Roman" w:hAnsi="Times New Roman" w:cs="Times New Roman"/>
          <w:b/>
          <w:sz w:val="24"/>
          <w:szCs w:val="24"/>
        </w:rPr>
        <w:t>Projected Future Growth Rate</w:t>
      </w:r>
    </w:p>
    <w:p w:rsidR="007A1694" w:rsidRPr="007A1694" w:rsidRDefault="007A1694" w:rsidP="00BD3239">
      <w:pPr>
        <w:spacing w:line="480" w:lineRule="auto"/>
        <w:rPr>
          <w:rFonts w:ascii="Times New Roman" w:hAnsi="Times New Roman" w:cs="Times New Roman"/>
          <w:i/>
          <w:sz w:val="24"/>
          <w:szCs w:val="24"/>
        </w:rPr>
      </w:pPr>
      <w:r>
        <w:rPr>
          <w:rFonts w:ascii="Times New Roman" w:hAnsi="Times New Roman" w:cs="Times New Roman"/>
          <w:i/>
          <w:sz w:val="24"/>
          <w:szCs w:val="24"/>
        </w:rPr>
        <w:t>Table 1: Documented Growth Parameter in the U.S. Soft-drink Industry</w:t>
      </w:r>
    </w:p>
    <w:tbl>
      <w:tblPr>
        <w:tblStyle w:val="TableGrid"/>
        <w:tblW w:w="0" w:type="auto"/>
        <w:tblLook w:val="04A0" w:firstRow="1" w:lastRow="0" w:firstColumn="1" w:lastColumn="0" w:noHBand="0" w:noVBand="1"/>
      </w:tblPr>
      <w:tblGrid>
        <w:gridCol w:w="3798"/>
        <w:gridCol w:w="1350"/>
        <w:gridCol w:w="900"/>
        <w:gridCol w:w="990"/>
        <w:gridCol w:w="1260"/>
        <w:gridCol w:w="1278"/>
      </w:tblGrid>
      <w:tr w:rsidR="0063091F" w:rsidTr="002300CD">
        <w:tc>
          <w:tcPr>
            <w:tcW w:w="3798" w:type="dxa"/>
          </w:tcPr>
          <w:p w:rsidR="00250AAD" w:rsidRDefault="00250AAD" w:rsidP="007A1694">
            <w:pPr>
              <w:rPr>
                <w:rFonts w:ascii="Times New Roman" w:hAnsi="Times New Roman" w:cs="Times New Roman"/>
                <w:sz w:val="24"/>
                <w:szCs w:val="24"/>
              </w:rPr>
            </w:pPr>
            <w:r>
              <w:rPr>
                <w:rFonts w:ascii="Times New Roman" w:hAnsi="Times New Roman" w:cs="Times New Roman"/>
                <w:sz w:val="24"/>
                <w:szCs w:val="24"/>
              </w:rPr>
              <w:t>Factors</w:t>
            </w:r>
          </w:p>
        </w:tc>
        <w:tc>
          <w:tcPr>
            <w:tcW w:w="1350" w:type="dxa"/>
          </w:tcPr>
          <w:p w:rsidR="00250AAD" w:rsidRDefault="0098243D" w:rsidP="00E50DA3">
            <w:pPr>
              <w:rPr>
                <w:rFonts w:ascii="Times New Roman" w:hAnsi="Times New Roman" w:cs="Times New Roman"/>
                <w:sz w:val="24"/>
                <w:szCs w:val="24"/>
              </w:rPr>
            </w:pPr>
            <w:r>
              <w:rPr>
                <w:rFonts w:ascii="Times New Roman" w:hAnsi="Times New Roman" w:cs="Times New Roman"/>
                <w:sz w:val="24"/>
                <w:szCs w:val="24"/>
              </w:rPr>
              <w:t>2years</w:t>
            </w:r>
            <w:r w:rsidR="00E50DA3">
              <w:rPr>
                <w:rFonts w:ascii="Times New Roman" w:hAnsi="Times New Roman" w:cs="Times New Roman"/>
                <w:sz w:val="24"/>
                <w:szCs w:val="24"/>
              </w:rPr>
              <w:t xml:space="preserve"> Ago</w:t>
            </w:r>
            <w:r w:rsidR="009026FB">
              <w:rPr>
                <w:rFonts w:ascii="Times New Roman" w:hAnsi="Times New Roman" w:cs="Times New Roman"/>
                <w:sz w:val="24"/>
                <w:szCs w:val="24"/>
              </w:rPr>
              <w:t xml:space="preserve"> (Av</w:t>
            </w:r>
            <w:r w:rsidR="002300CD">
              <w:rPr>
                <w:rFonts w:ascii="Times New Roman" w:hAnsi="Times New Roman" w:cs="Times New Roman"/>
                <w:sz w:val="24"/>
                <w:szCs w:val="24"/>
              </w:rPr>
              <w:t>erage</w:t>
            </w:r>
            <w:r w:rsidR="009026FB">
              <w:rPr>
                <w:rFonts w:ascii="Times New Roman" w:hAnsi="Times New Roman" w:cs="Times New Roman"/>
                <w:sz w:val="24"/>
                <w:szCs w:val="24"/>
              </w:rPr>
              <w:t>)</w:t>
            </w:r>
          </w:p>
        </w:tc>
        <w:tc>
          <w:tcPr>
            <w:tcW w:w="900" w:type="dxa"/>
          </w:tcPr>
          <w:p w:rsidR="00250AAD" w:rsidRDefault="00C12D9C" w:rsidP="007A1694">
            <w:pPr>
              <w:rPr>
                <w:rFonts w:ascii="Times New Roman" w:hAnsi="Times New Roman" w:cs="Times New Roman"/>
                <w:sz w:val="24"/>
                <w:szCs w:val="24"/>
              </w:rPr>
            </w:pPr>
            <w:r>
              <w:rPr>
                <w:rFonts w:ascii="Times New Roman" w:hAnsi="Times New Roman" w:cs="Times New Roman"/>
                <w:sz w:val="24"/>
                <w:szCs w:val="24"/>
              </w:rPr>
              <w:t>2017</w:t>
            </w:r>
          </w:p>
        </w:tc>
        <w:tc>
          <w:tcPr>
            <w:tcW w:w="990" w:type="dxa"/>
          </w:tcPr>
          <w:p w:rsidR="00250AAD" w:rsidRDefault="00C12D9C" w:rsidP="007A1694">
            <w:pPr>
              <w:rPr>
                <w:rFonts w:ascii="Times New Roman" w:hAnsi="Times New Roman" w:cs="Times New Roman"/>
                <w:sz w:val="24"/>
                <w:szCs w:val="24"/>
              </w:rPr>
            </w:pPr>
            <w:r>
              <w:rPr>
                <w:rFonts w:ascii="Times New Roman" w:hAnsi="Times New Roman" w:cs="Times New Roman"/>
                <w:sz w:val="24"/>
                <w:szCs w:val="24"/>
              </w:rPr>
              <w:t>2018</w:t>
            </w:r>
          </w:p>
        </w:tc>
        <w:tc>
          <w:tcPr>
            <w:tcW w:w="1260" w:type="dxa"/>
          </w:tcPr>
          <w:p w:rsidR="00250AAD" w:rsidRDefault="00DE5E95" w:rsidP="007A1694">
            <w:pPr>
              <w:rPr>
                <w:rFonts w:ascii="Times New Roman" w:hAnsi="Times New Roman" w:cs="Times New Roman"/>
                <w:sz w:val="24"/>
                <w:szCs w:val="24"/>
              </w:rPr>
            </w:pPr>
            <w:r>
              <w:rPr>
                <w:rFonts w:ascii="Times New Roman" w:hAnsi="Times New Roman" w:cs="Times New Roman"/>
                <w:sz w:val="24"/>
                <w:szCs w:val="24"/>
              </w:rPr>
              <w:t xml:space="preserve">Forecasted </w:t>
            </w:r>
            <w:r w:rsidR="00B47607">
              <w:rPr>
                <w:rFonts w:ascii="Times New Roman" w:hAnsi="Times New Roman" w:cs="Times New Roman"/>
                <w:sz w:val="24"/>
                <w:szCs w:val="24"/>
              </w:rPr>
              <w:t>2019</w:t>
            </w:r>
          </w:p>
        </w:tc>
        <w:tc>
          <w:tcPr>
            <w:tcW w:w="1278" w:type="dxa"/>
          </w:tcPr>
          <w:p w:rsidR="00250AAD" w:rsidRDefault="00DE5E95" w:rsidP="007A1694">
            <w:pPr>
              <w:rPr>
                <w:rFonts w:ascii="Times New Roman" w:hAnsi="Times New Roman" w:cs="Times New Roman"/>
                <w:sz w:val="24"/>
                <w:szCs w:val="24"/>
              </w:rPr>
            </w:pPr>
            <w:r>
              <w:rPr>
                <w:rFonts w:ascii="Times New Roman" w:hAnsi="Times New Roman" w:cs="Times New Roman"/>
                <w:sz w:val="24"/>
                <w:szCs w:val="24"/>
              </w:rPr>
              <w:t>Forecasted Ave. 5yrs</w:t>
            </w:r>
          </w:p>
        </w:tc>
      </w:tr>
      <w:tr w:rsidR="0063091F" w:rsidTr="002300CD">
        <w:tc>
          <w:tcPr>
            <w:tcW w:w="3798" w:type="dxa"/>
          </w:tcPr>
          <w:p w:rsidR="00250AAD" w:rsidRPr="00403521" w:rsidRDefault="00250AAD" w:rsidP="007A1694">
            <w:pPr>
              <w:rPr>
                <w:rFonts w:ascii="Times New Roman" w:hAnsi="Times New Roman" w:cs="Times New Roman"/>
                <w:i/>
                <w:sz w:val="24"/>
                <w:szCs w:val="24"/>
              </w:rPr>
            </w:pPr>
            <w:r>
              <w:rPr>
                <w:rFonts w:ascii="Times New Roman" w:hAnsi="Times New Roman" w:cs="Times New Roman"/>
                <w:sz w:val="24"/>
                <w:szCs w:val="24"/>
              </w:rPr>
              <w:t>Total Revenue</w:t>
            </w:r>
            <w:r w:rsidR="00403521">
              <w:rPr>
                <w:rFonts w:ascii="Times New Roman" w:hAnsi="Times New Roman" w:cs="Times New Roman"/>
                <w:sz w:val="24"/>
                <w:szCs w:val="24"/>
              </w:rPr>
              <w:t xml:space="preserve"> (</w:t>
            </w:r>
            <w:r w:rsidR="00403521">
              <w:rPr>
                <w:rFonts w:ascii="Times New Roman" w:hAnsi="Times New Roman" w:cs="Times New Roman"/>
                <w:i/>
                <w:sz w:val="24"/>
                <w:szCs w:val="24"/>
              </w:rPr>
              <w:t>in $</w:t>
            </w:r>
            <w:r w:rsidR="00601471">
              <w:rPr>
                <w:rFonts w:ascii="Times New Roman" w:hAnsi="Times New Roman" w:cs="Times New Roman"/>
                <w:i/>
                <w:sz w:val="24"/>
                <w:szCs w:val="24"/>
              </w:rPr>
              <w:t xml:space="preserve"> ‘000,000</w:t>
            </w:r>
            <w:r w:rsidR="00403521">
              <w:rPr>
                <w:rFonts w:ascii="Times New Roman" w:hAnsi="Times New Roman" w:cs="Times New Roman"/>
                <w:i/>
                <w:sz w:val="24"/>
                <w:szCs w:val="24"/>
              </w:rPr>
              <w:t>)</w:t>
            </w:r>
          </w:p>
        </w:tc>
        <w:tc>
          <w:tcPr>
            <w:tcW w:w="1350" w:type="dxa"/>
          </w:tcPr>
          <w:p w:rsidR="00250AAD" w:rsidRDefault="002300CD" w:rsidP="007A1694">
            <w:pPr>
              <w:rPr>
                <w:rFonts w:ascii="Times New Roman" w:hAnsi="Times New Roman" w:cs="Times New Roman"/>
                <w:sz w:val="24"/>
                <w:szCs w:val="24"/>
              </w:rPr>
            </w:pPr>
            <w:r>
              <w:rPr>
                <w:rFonts w:ascii="Times New Roman" w:hAnsi="Times New Roman" w:cs="Times New Roman"/>
                <w:sz w:val="24"/>
                <w:szCs w:val="24"/>
              </w:rPr>
              <w:t>126.9</w:t>
            </w:r>
          </w:p>
        </w:tc>
        <w:tc>
          <w:tcPr>
            <w:tcW w:w="900" w:type="dxa"/>
          </w:tcPr>
          <w:p w:rsidR="00250AAD" w:rsidRDefault="00250AAD" w:rsidP="007A1694">
            <w:pPr>
              <w:rPr>
                <w:rFonts w:ascii="Times New Roman" w:hAnsi="Times New Roman" w:cs="Times New Roman"/>
                <w:sz w:val="24"/>
                <w:szCs w:val="24"/>
              </w:rPr>
            </w:pPr>
          </w:p>
        </w:tc>
        <w:tc>
          <w:tcPr>
            <w:tcW w:w="990" w:type="dxa"/>
          </w:tcPr>
          <w:p w:rsidR="00250AAD" w:rsidRDefault="003E2079" w:rsidP="007A1694">
            <w:pPr>
              <w:rPr>
                <w:rFonts w:ascii="Times New Roman" w:hAnsi="Times New Roman" w:cs="Times New Roman"/>
                <w:sz w:val="24"/>
                <w:szCs w:val="24"/>
              </w:rPr>
            </w:pPr>
            <w:r>
              <w:rPr>
                <w:rFonts w:ascii="Times New Roman" w:hAnsi="Times New Roman" w:cs="Times New Roman"/>
                <w:sz w:val="24"/>
                <w:szCs w:val="24"/>
              </w:rPr>
              <w:t>112.5</w:t>
            </w:r>
          </w:p>
        </w:tc>
        <w:tc>
          <w:tcPr>
            <w:tcW w:w="1260" w:type="dxa"/>
          </w:tcPr>
          <w:p w:rsidR="00250AAD" w:rsidRDefault="00601471" w:rsidP="007A1694">
            <w:pPr>
              <w:rPr>
                <w:rFonts w:ascii="Times New Roman" w:hAnsi="Times New Roman" w:cs="Times New Roman"/>
                <w:sz w:val="24"/>
                <w:szCs w:val="24"/>
              </w:rPr>
            </w:pPr>
            <w:r>
              <w:rPr>
                <w:rFonts w:ascii="Times New Roman" w:hAnsi="Times New Roman" w:cs="Times New Roman"/>
                <w:sz w:val="24"/>
                <w:szCs w:val="24"/>
              </w:rPr>
              <w:t>1,463</w:t>
            </w:r>
          </w:p>
        </w:tc>
        <w:tc>
          <w:tcPr>
            <w:tcW w:w="1278" w:type="dxa"/>
          </w:tcPr>
          <w:p w:rsidR="00250AAD" w:rsidRDefault="0093395D" w:rsidP="007A1694">
            <w:pPr>
              <w:rPr>
                <w:rFonts w:ascii="Times New Roman" w:hAnsi="Times New Roman" w:cs="Times New Roman"/>
                <w:sz w:val="24"/>
                <w:szCs w:val="24"/>
              </w:rPr>
            </w:pPr>
            <w:r>
              <w:rPr>
                <w:rFonts w:ascii="Times New Roman" w:hAnsi="Times New Roman" w:cs="Times New Roman"/>
                <w:sz w:val="24"/>
                <w:szCs w:val="24"/>
              </w:rPr>
              <w:t>19,015</w:t>
            </w:r>
          </w:p>
        </w:tc>
      </w:tr>
      <w:tr w:rsidR="0063091F" w:rsidTr="002300CD">
        <w:tc>
          <w:tcPr>
            <w:tcW w:w="3798" w:type="dxa"/>
          </w:tcPr>
          <w:p w:rsidR="00250AAD" w:rsidRPr="00403521" w:rsidRDefault="00250AAD" w:rsidP="0098243D">
            <w:pPr>
              <w:rPr>
                <w:rFonts w:ascii="Times New Roman" w:hAnsi="Times New Roman" w:cs="Times New Roman"/>
                <w:i/>
                <w:sz w:val="24"/>
                <w:szCs w:val="24"/>
              </w:rPr>
            </w:pPr>
            <w:r>
              <w:rPr>
                <w:rFonts w:ascii="Times New Roman" w:hAnsi="Times New Roman" w:cs="Times New Roman"/>
                <w:sz w:val="24"/>
                <w:szCs w:val="24"/>
              </w:rPr>
              <w:t>Total Unit Sales</w:t>
            </w:r>
            <w:r w:rsidR="00403521">
              <w:rPr>
                <w:rFonts w:ascii="Times New Roman" w:hAnsi="Times New Roman" w:cs="Times New Roman"/>
                <w:sz w:val="24"/>
                <w:szCs w:val="24"/>
              </w:rPr>
              <w:t xml:space="preserve"> (</w:t>
            </w:r>
            <w:r w:rsidR="0098243D">
              <w:rPr>
                <w:rFonts w:ascii="Times New Roman" w:hAnsi="Times New Roman" w:cs="Times New Roman"/>
                <w:i/>
                <w:sz w:val="24"/>
                <w:szCs w:val="24"/>
              </w:rPr>
              <w:t>billion gallons</w:t>
            </w:r>
            <w:r w:rsidR="005135AD">
              <w:rPr>
                <w:rFonts w:ascii="Times New Roman" w:hAnsi="Times New Roman" w:cs="Times New Roman"/>
                <w:i/>
                <w:sz w:val="24"/>
                <w:szCs w:val="24"/>
              </w:rPr>
              <w:t>)</w:t>
            </w:r>
          </w:p>
        </w:tc>
        <w:tc>
          <w:tcPr>
            <w:tcW w:w="1350" w:type="dxa"/>
          </w:tcPr>
          <w:p w:rsidR="00250AAD" w:rsidRDefault="009026FB" w:rsidP="007A1694">
            <w:pPr>
              <w:rPr>
                <w:rFonts w:ascii="Times New Roman" w:hAnsi="Times New Roman" w:cs="Times New Roman"/>
                <w:sz w:val="24"/>
                <w:szCs w:val="24"/>
              </w:rPr>
            </w:pPr>
            <w:r>
              <w:rPr>
                <w:rFonts w:ascii="Times New Roman" w:hAnsi="Times New Roman" w:cs="Times New Roman"/>
                <w:sz w:val="24"/>
                <w:szCs w:val="24"/>
              </w:rPr>
              <w:t>32.4</w:t>
            </w:r>
          </w:p>
        </w:tc>
        <w:tc>
          <w:tcPr>
            <w:tcW w:w="900" w:type="dxa"/>
          </w:tcPr>
          <w:p w:rsidR="00250AAD" w:rsidRDefault="0098243D" w:rsidP="0098243D">
            <w:pPr>
              <w:rPr>
                <w:rFonts w:ascii="Times New Roman" w:hAnsi="Times New Roman" w:cs="Times New Roman"/>
                <w:sz w:val="24"/>
                <w:szCs w:val="24"/>
              </w:rPr>
            </w:pPr>
            <w:r>
              <w:rPr>
                <w:rFonts w:ascii="Times New Roman" w:hAnsi="Times New Roman" w:cs="Times New Roman"/>
                <w:sz w:val="24"/>
                <w:szCs w:val="24"/>
              </w:rPr>
              <w:t>33.69</w:t>
            </w:r>
          </w:p>
        </w:tc>
        <w:tc>
          <w:tcPr>
            <w:tcW w:w="990" w:type="dxa"/>
          </w:tcPr>
          <w:p w:rsidR="00250AAD" w:rsidRDefault="0041131F" w:rsidP="007A1694">
            <w:pPr>
              <w:rPr>
                <w:rFonts w:ascii="Times New Roman" w:hAnsi="Times New Roman" w:cs="Times New Roman"/>
                <w:sz w:val="24"/>
                <w:szCs w:val="24"/>
              </w:rPr>
            </w:pPr>
            <w:r>
              <w:rPr>
                <w:rFonts w:ascii="Times New Roman" w:hAnsi="Times New Roman" w:cs="Times New Roman"/>
                <w:sz w:val="24"/>
                <w:szCs w:val="24"/>
              </w:rPr>
              <w:t>83.6</w:t>
            </w:r>
          </w:p>
        </w:tc>
        <w:tc>
          <w:tcPr>
            <w:tcW w:w="1260" w:type="dxa"/>
          </w:tcPr>
          <w:p w:rsidR="00250AAD" w:rsidRDefault="0041131F" w:rsidP="007A1694">
            <w:pPr>
              <w:rPr>
                <w:rFonts w:ascii="Times New Roman" w:hAnsi="Times New Roman" w:cs="Times New Roman"/>
                <w:sz w:val="24"/>
                <w:szCs w:val="24"/>
              </w:rPr>
            </w:pPr>
            <w:r>
              <w:rPr>
                <w:rFonts w:ascii="Times New Roman" w:hAnsi="Times New Roman" w:cs="Times New Roman"/>
                <w:sz w:val="24"/>
                <w:szCs w:val="24"/>
              </w:rPr>
              <w:t>82.7</w:t>
            </w:r>
          </w:p>
        </w:tc>
        <w:tc>
          <w:tcPr>
            <w:tcW w:w="1278" w:type="dxa"/>
          </w:tcPr>
          <w:p w:rsidR="00250AAD" w:rsidRDefault="009026FB" w:rsidP="007A1694">
            <w:pPr>
              <w:rPr>
                <w:rFonts w:ascii="Times New Roman" w:hAnsi="Times New Roman" w:cs="Times New Roman"/>
                <w:sz w:val="24"/>
                <w:szCs w:val="24"/>
              </w:rPr>
            </w:pPr>
            <w:r>
              <w:rPr>
                <w:rFonts w:ascii="Times New Roman" w:hAnsi="Times New Roman" w:cs="Times New Roman"/>
                <w:sz w:val="24"/>
                <w:szCs w:val="24"/>
              </w:rPr>
              <w:t>82.1</w:t>
            </w:r>
          </w:p>
        </w:tc>
      </w:tr>
      <w:tr w:rsidR="0063091F" w:rsidTr="002300CD">
        <w:tc>
          <w:tcPr>
            <w:tcW w:w="3798" w:type="dxa"/>
          </w:tcPr>
          <w:p w:rsidR="00250AAD" w:rsidRDefault="00250AAD" w:rsidP="007A1694">
            <w:pPr>
              <w:rPr>
                <w:rFonts w:ascii="Times New Roman" w:hAnsi="Times New Roman" w:cs="Times New Roman"/>
                <w:sz w:val="24"/>
                <w:szCs w:val="24"/>
              </w:rPr>
            </w:pPr>
            <w:r>
              <w:rPr>
                <w:rFonts w:ascii="Times New Roman" w:hAnsi="Times New Roman" w:cs="Times New Roman"/>
                <w:sz w:val="24"/>
                <w:szCs w:val="24"/>
              </w:rPr>
              <w:t xml:space="preserve">Total Employment </w:t>
            </w:r>
          </w:p>
        </w:tc>
        <w:tc>
          <w:tcPr>
            <w:tcW w:w="1350" w:type="dxa"/>
          </w:tcPr>
          <w:p w:rsidR="00250AAD" w:rsidRDefault="00AD05C4" w:rsidP="007A1694">
            <w:pPr>
              <w:rPr>
                <w:rFonts w:ascii="Times New Roman" w:hAnsi="Times New Roman" w:cs="Times New Roman"/>
                <w:sz w:val="24"/>
                <w:szCs w:val="24"/>
              </w:rPr>
            </w:pPr>
            <w:r>
              <w:rPr>
                <w:rFonts w:ascii="Times New Roman" w:hAnsi="Times New Roman" w:cs="Times New Roman"/>
                <w:sz w:val="24"/>
                <w:szCs w:val="24"/>
              </w:rPr>
              <w:t>20,727</w:t>
            </w:r>
          </w:p>
        </w:tc>
        <w:tc>
          <w:tcPr>
            <w:tcW w:w="900" w:type="dxa"/>
          </w:tcPr>
          <w:p w:rsidR="00250AAD" w:rsidRDefault="00B47607" w:rsidP="007A1694">
            <w:pPr>
              <w:rPr>
                <w:rFonts w:ascii="Times New Roman" w:hAnsi="Times New Roman" w:cs="Times New Roman"/>
                <w:sz w:val="24"/>
                <w:szCs w:val="24"/>
              </w:rPr>
            </w:pPr>
            <w:r>
              <w:rPr>
                <w:rFonts w:ascii="Times New Roman" w:hAnsi="Times New Roman" w:cs="Times New Roman"/>
                <w:sz w:val="24"/>
                <w:szCs w:val="24"/>
              </w:rPr>
              <w:t>20,251</w:t>
            </w:r>
          </w:p>
        </w:tc>
        <w:tc>
          <w:tcPr>
            <w:tcW w:w="990" w:type="dxa"/>
          </w:tcPr>
          <w:p w:rsidR="00250AAD" w:rsidRDefault="00B47607" w:rsidP="007A1694">
            <w:pPr>
              <w:rPr>
                <w:rFonts w:ascii="Times New Roman" w:hAnsi="Times New Roman" w:cs="Times New Roman"/>
                <w:sz w:val="24"/>
                <w:szCs w:val="24"/>
              </w:rPr>
            </w:pPr>
            <w:r>
              <w:rPr>
                <w:rFonts w:ascii="Times New Roman" w:hAnsi="Times New Roman" w:cs="Times New Roman"/>
                <w:sz w:val="24"/>
                <w:szCs w:val="24"/>
              </w:rPr>
              <w:t>20,048</w:t>
            </w:r>
          </w:p>
        </w:tc>
        <w:tc>
          <w:tcPr>
            <w:tcW w:w="1260" w:type="dxa"/>
          </w:tcPr>
          <w:p w:rsidR="00250AAD" w:rsidRDefault="00EC09C5" w:rsidP="007A1694">
            <w:pPr>
              <w:rPr>
                <w:rFonts w:ascii="Times New Roman" w:hAnsi="Times New Roman" w:cs="Times New Roman"/>
                <w:sz w:val="24"/>
                <w:szCs w:val="24"/>
              </w:rPr>
            </w:pPr>
            <w:r>
              <w:rPr>
                <w:rFonts w:ascii="Times New Roman" w:hAnsi="Times New Roman" w:cs="Times New Roman"/>
                <w:sz w:val="24"/>
                <w:szCs w:val="24"/>
              </w:rPr>
              <w:t>20,096</w:t>
            </w:r>
          </w:p>
        </w:tc>
        <w:tc>
          <w:tcPr>
            <w:tcW w:w="1278" w:type="dxa"/>
          </w:tcPr>
          <w:p w:rsidR="00250AAD" w:rsidRDefault="00EC09C5" w:rsidP="007A1694">
            <w:pPr>
              <w:rPr>
                <w:rFonts w:ascii="Times New Roman" w:hAnsi="Times New Roman" w:cs="Times New Roman"/>
                <w:sz w:val="24"/>
                <w:szCs w:val="24"/>
              </w:rPr>
            </w:pPr>
            <w:r>
              <w:rPr>
                <w:rFonts w:ascii="Times New Roman" w:hAnsi="Times New Roman" w:cs="Times New Roman"/>
                <w:sz w:val="24"/>
                <w:szCs w:val="24"/>
              </w:rPr>
              <w:t>20,296</w:t>
            </w:r>
          </w:p>
        </w:tc>
      </w:tr>
      <w:tr w:rsidR="0063091F" w:rsidTr="002300CD">
        <w:tc>
          <w:tcPr>
            <w:tcW w:w="3798" w:type="dxa"/>
          </w:tcPr>
          <w:p w:rsidR="00250AAD" w:rsidRPr="00403521" w:rsidRDefault="00250AAD" w:rsidP="007A1694">
            <w:pPr>
              <w:rPr>
                <w:rFonts w:ascii="Times New Roman" w:hAnsi="Times New Roman" w:cs="Times New Roman"/>
                <w:i/>
                <w:sz w:val="24"/>
                <w:szCs w:val="24"/>
              </w:rPr>
            </w:pPr>
            <w:r>
              <w:rPr>
                <w:rFonts w:ascii="Times New Roman" w:hAnsi="Times New Roman" w:cs="Times New Roman"/>
                <w:sz w:val="24"/>
                <w:szCs w:val="24"/>
              </w:rPr>
              <w:t>Industry Growth Rat</w:t>
            </w:r>
            <w:r w:rsidR="00403521">
              <w:rPr>
                <w:rFonts w:ascii="Times New Roman" w:hAnsi="Times New Roman" w:cs="Times New Roman"/>
                <w:sz w:val="24"/>
                <w:szCs w:val="24"/>
              </w:rPr>
              <w:t>e (</w:t>
            </w:r>
            <w:r w:rsidR="00403521">
              <w:rPr>
                <w:rFonts w:ascii="Times New Roman" w:hAnsi="Times New Roman" w:cs="Times New Roman"/>
                <w:i/>
                <w:sz w:val="24"/>
                <w:szCs w:val="24"/>
              </w:rPr>
              <w:t>in %)</w:t>
            </w:r>
          </w:p>
        </w:tc>
        <w:tc>
          <w:tcPr>
            <w:tcW w:w="1350" w:type="dxa"/>
          </w:tcPr>
          <w:p w:rsidR="00250AAD" w:rsidRDefault="00DC7A3E" w:rsidP="007A1694">
            <w:pPr>
              <w:rPr>
                <w:rFonts w:ascii="Times New Roman" w:hAnsi="Times New Roman" w:cs="Times New Roman"/>
                <w:sz w:val="24"/>
                <w:szCs w:val="24"/>
              </w:rPr>
            </w:pPr>
            <w:r>
              <w:rPr>
                <w:rFonts w:ascii="Times New Roman" w:hAnsi="Times New Roman" w:cs="Times New Roman"/>
                <w:sz w:val="24"/>
                <w:szCs w:val="24"/>
              </w:rPr>
              <w:t>-1.21</w:t>
            </w:r>
          </w:p>
        </w:tc>
        <w:tc>
          <w:tcPr>
            <w:tcW w:w="900" w:type="dxa"/>
          </w:tcPr>
          <w:p w:rsidR="00250AAD" w:rsidRDefault="00DC7A3E" w:rsidP="007A1694">
            <w:pPr>
              <w:rPr>
                <w:rFonts w:ascii="Times New Roman" w:hAnsi="Times New Roman" w:cs="Times New Roman"/>
                <w:sz w:val="24"/>
                <w:szCs w:val="24"/>
              </w:rPr>
            </w:pPr>
            <w:r>
              <w:rPr>
                <w:rFonts w:ascii="Times New Roman" w:hAnsi="Times New Roman" w:cs="Times New Roman"/>
                <w:sz w:val="24"/>
                <w:szCs w:val="24"/>
              </w:rPr>
              <w:t>-0.68</w:t>
            </w:r>
          </w:p>
        </w:tc>
        <w:tc>
          <w:tcPr>
            <w:tcW w:w="990" w:type="dxa"/>
          </w:tcPr>
          <w:p w:rsidR="00250AAD" w:rsidRDefault="00ED285A" w:rsidP="007A1694">
            <w:pPr>
              <w:rPr>
                <w:rFonts w:ascii="Times New Roman" w:hAnsi="Times New Roman" w:cs="Times New Roman"/>
                <w:sz w:val="24"/>
                <w:szCs w:val="24"/>
              </w:rPr>
            </w:pPr>
            <w:r>
              <w:rPr>
                <w:rFonts w:ascii="Times New Roman" w:hAnsi="Times New Roman" w:cs="Times New Roman"/>
                <w:sz w:val="24"/>
                <w:szCs w:val="24"/>
              </w:rPr>
              <w:t>+0.70</w:t>
            </w:r>
          </w:p>
        </w:tc>
        <w:tc>
          <w:tcPr>
            <w:tcW w:w="1260" w:type="dxa"/>
          </w:tcPr>
          <w:p w:rsidR="00250AAD" w:rsidRDefault="00E50DA3" w:rsidP="007A1694">
            <w:pPr>
              <w:rPr>
                <w:rFonts w:ascii="Times New Roman" w:hAnsi="Times New Roman" w:cs="Times New Roman"/>
                <w:sz w:val="24"/>
                <w:szCs w:val="24"/>
              </w:rPr>
            </w:pPr>
            <w:r>
              <w:rPr>
                <w:rFonts w:ascii="Times New Roman" w:hAnsi="Times New Roman" w:cs="Times New Roman"/>
                <w:sz w:val="24"/>
                <w:szCs w:val="24"/>
              </w:rPr>
              <w:t>1.3</w:t>
            </w:r>
          </w:p>
        </w:tc>
        <w:tc>
          <w:tcPr>
            <w:tcW w:w="1278" w:type="dxa"/>
          </w:tcPr>
          <w:p w:rsidR="00250AAD" w:rsidRDefault="00E50DA3" w:rsidP="007A1694">
            <w:pPr>
              <w:rPr>
                <w:rFonts w:ascii="Times New Roman" w:hAnsi="Times New Roman" w:cs="Times New Roman"/>
                <w:sz w:val="24"/>
                <w:szCs w:val="24"/>
              </w:rPr>
            </w:pPr>
            <w:r>
              <w:rPr>
                <w:rFonts w:ascii="Times New Roman" w:hAnsi="Times New Roman" w:cs="Times New Roman"/>
                <w:sz w:val="24"/>
                <w:szCs w:val="24"/>
              </w:rPr>
              <w:t>1.3</w:t>
            </w:r>
          </w:p>
        </w:tc>
      </w:tr>
      <w:tr w:rsidR="0063091F" w:rsidTr="002300CD">
        <w:tc>
          <w:tcPr>
            <w:tcW w:w="3798" w:type="dxa"/>
          </w:tcPr>
          <w:p w:rsidR="00250AAD" w:rsidRDefault="00250AAD" w:rsidP="007A1694">
            <w:pPr>
              <w:rPr>
                <w:rFonts w:ascii="Times New Roman" w:hAnsi="Times New Roman" w:cs="Times New Roman"/>
                <w:sz w:val="24"/>
                <w:szCs w:val="24"/>
              </w:rPr>
            </w:pPr>
            <w:r>
              <w:rPr>
                <w:rFonts w:ascii="Times New Roman" w:hAnsi="Times New Roman" w:cs="Times New Roman"/>
                <w:sz w:val="24"/>
                <w:szCs w:val="24"/>
              </w:rPr>
              <w:t>GDP Growth Rate</w:t>
            </w:r>
            <w:r w:rsidR="00403521">
              <w:rPr>
                <w:rFonts w:ascii="Times New Roman" w:hAnsi="Times New Roman" w:cs="Times New Roman"/>
                <w:sz w:val="24"/>
                <w:szCs w:val="24"/>
              </w:rPr>
              <w:t xml:space="preserve"> (</w:t>
            </w:r>
            <w:r w:rsidR="00403521">
              <w:rPr>
                <w:rFonts w:ascii="Times New Roman" w:hAnsi="Times New Roman" w:cs="Times New Roman"/>
                <w:i/>
                <w:sz w:val="24"/>
                <w:szCs w:val="24"/>
              </w:rPr>
              <w:t>in %)</w:t>
            </w:r>
          </w:p>
        </w:tc>
        <w:tc>
          <w:tcPr>
            <w:tcW w:w="1350" w:type="dxa"/>
          </w:tcPr>
          <w:p w:rsidR="00250AAD" w:rsidRDefault="005F143B" w:rsidP="0063091F">
            <w:pPr>
              <w:rPr>
                <w:rFonts w:ascii="Times New Roman" w:hAnsi="Times New Roman" w:cs="Times New Roman"/>
                <w:sz w:val="24"/>
                <w:szCs w:val="24"/>
              </w:rPr>
            </w:pPr>
            <w:r>
              <w:rPr>
                <w:rFonts w:ascii="Times New Roman" w:hAnsi="Times New Roman" w:cs="Times New Roman"/>
                <w:sz w:val="24"/>
                <w:szCs w:val="24"/>
              </w:rPr>
              <w:t>2</w:t>
            </w:r>
            <w:r w:rsidR="0063091F">
              <w:rPr>
                <w:rFonts w:ascii="Times New Roman" w:hAnsi="Times New Roman" w:cs="Times New Roman"/>
                <w:sz w:val="24"/>
                <w:szCs w:val="24"/>
              </w:rPr>
              <w:t>.24</w:t>
            </w:r>
          </w:p>
        </w:tc>
        <w:tc>
          <w:tcPr>
            <w:tcW w:w="900" w:type="dxa"/>
          </w:tcPr>
          <w:p w:rsidR="00250AAD" w:rsidRDefault="005F143B" w:rsidP="0063091F">
            <w:pPr>
              <w:rPr>
                <w:rFonts w:ascii="Times New Roman" w:hAnsi="Times New Roman" w:cs="Times New Roman"/>
                <w:sz w:val="24"/>
                <w:szCs w:val="24"/>
              </w:rPr>
            </w:pPr>
            <w:r>
              <w:rPr>
                <w:rFonts w:ascii="Times New Roman" w:hAnsi="Times New Roman" w:cs="Times New Roman"/>
                <w:sz w:val="24"/>
                <w:szCs w:val="24"/>
              </w:rPr>
              <w:t>2</w:t>
            </w:r>
            <w:r w:rsidR="0063091F">
              <w:rPr>
                <w:rFonts w:ascii="Times New Roman" w:hAnsi="Times New Roman" w:cs="Times New Roman"/>
                <w:sz w:val="24"/>
                <w:szCs w:val="24"/>
              </w:rPr>
              <w:t>.</w:t>
            </w:r>
            <w:r>
              <w:rPr>
                <w:rFonts w:ascii="Times New Roman" w:hAnsi="Times New Roman" w:cs="Times New Roman"/>
                <w:sz w:val="24"/>
                <w:szCs w:val="24"/>
              </w:rPr>
              <w:t>2</w:t>
            </w:r>
            <w:r w:rsidR="0063091F">
              <w:rPr>
                <w:rFonts w:ascii="Times New Roman" w:hAnsi="Times New Roman" w:cs="Times New Roman"/>
                <w:sz w:val="24"/>
                <w:szCs w:val="24"/>
              </w:rPr>
              <w:t>5</w:t>
            </w:r>
          </w:p>
        </w:tc>
        <w:tc>
          <w:tcPr>
            <w:tcW w:w="990" w:type="dxa"/>
          </w:tcPr>
          <w:p w:rsidR="00250AAD" w:rsidRDefault="0093395D" w:rsidP="0063091F">
            <w:pPr>
              <w:rPr>
                <w:rFonts w:ascii="Times New Roman" w:hAnsi="Times New Roman" w:cs="Times New Roman"/>
                <w:sz w:val="24"/>
                <w:szCs w:val="24"/>
              </w:rPr>
            </w:pPr>
            <w:r>
              <w:rPr>
                <w:rFonts w:ascii="Times New Roman" w:hAnsi="Times New Roman" w:cs="Times New Roman"/>
                <w:sz w:val="24"/>
                <w:szCs w:val="24"/>
              </w:rPr>
              <w:t>2</w:t>
            </w:r>
            <w:r w:rsidR="0063091F">
              <w:rPr>
                <w:rFonts w:ascii="Times New Roman" w:hAnsi="Times New Roman" w:cs="Times New Roman"/>
                <w:sz w:val="24"/>
                <w:szCs w:val="24"/>
              </w:rPr>
              <w:t>.</w:t>
            </w:r>
            <w:r>
              <w:rPr>
                <w:rFonts w:ascii="Times New Roman" w:hAnsi="Times New Roman" w:cs="Times New Roman"/>
                <w:sz w:val="24"/>
                <w:szCs w:val="24"/>
              </w:rPr>
              <w:t>26</w:t>
            </w:r>
          </w:p>
        </w:tc>
        <w:tc>
          <w:tcPr>
            <w:tcW w:w="1260" w:type="dxa"/>
          </w:tcPr>
          <w:p w:rsidR="00250AAD" w:rsidRDefault="00AC194B" w:rsidP="0063091F">
            <w:pPr>
              <w:rPr>
                <w:rFonts w:ascii="Times New Roman" w:hAnsi="Times New Roman" w:cs="Times New Roman"/>
                <w:sz w:val="24"/>
                <w:szCs w:val="24"/>
              </w:rPr>
            </w:pPr>
            <w:r>
              <w:rPr>
                <w:rFonts w:ascii="Times New Roman" w:hAnsi="Times New Roman" w:cs="Times New Roman"/>
                <w:sz w:val="24"/>
                <w:szCs w:val="24"/>
              </w:rPr>
              <w:t>2</w:t>
            </w:r>
            <w:r w:rsidR="0063091F">
              <w:rPr>
                <w:rFonts w:ascii="Times New Roman" w:hAnsi="Times New Roman" w:cs="Times New Roman"/>
                <w:sz w:val="24"/>
                <w:szCs w:val="24"/>
              </w:rPr>
              <w:t>.</w:t>
            </w:r>
            <w:r>
              <w:rPr>
                <w:rFonts w:ascii="Times New Roman" w:hAnsi="Times New Roman" w:cs="Times New Roman"/>
                <w:sz w:val="24"/>
                <w:szCs w:val="24"/>
              </w:rPr>
              <w:t>2</w:t>
            </w:r>
            <w:r w:rsidR="0063091F">
              <w:rPr>
                <w:rFonts w:ascii="Times New Roman" w:hAnsi="Times New Roman" w:cs="Times New Roman"/>
                <w:sz w:val="24"/>
                <w:szCs w:val="24"/>
              </w:rPr>
              <w:t>8</w:t>
            </w:r>
          </w:p>
        </w:tc>
        <w:tc>
          <w:tcPr>
            <w:tcW w:w="1278" w:type="dxa"/>
          </w:tcPr>
          <w:p w:rsidR="00250AAD" w:rsidRDefault="00AC194B" w:rsidP="0063091F">
            <w:pPr>
              <w:rPr>
                <w:rFonts w:ascii="Times New Roman" w:hAnsi="Times New Roman" w:cs="Times New Roman"/>
                <w:sz w:val="24"/>
                <w:szCs w:val="24"/>
              </w:rPr>
            </w:pPr>
            <w:r>
              <w:rPr>
                <w:rFonts w:ascii="Times New Roman" w:hAnsi="Times New Roman" w:cs="Times New Roman"/>
                <w:sz w:val="24"/>
                <w:szCs w:val="24"/>
              </w:rPr>
              <w:t>2</w:t>
            </w:r>
            <w:r w:rsidR="0063091F">
              <w:rPr>
                <w:rFonts w:ascii="Times New Roman" w:hAnsi="Times New Roman" w:cs="Times New Roman"/>
                <w:sz w:val="24"/>
                <w:szCs w:val="24"/>
              </w:rPr>
              <w:t>.</w:t>
            </w:r>
            <w:r>
              <w:rPr>
                <w:rFonts w:ascii="Times New Roman" w:hAnsi="Times New Roman" w:cs="Times New Roman"/>
                <w:sz w:val="24"/>
                <w:szCs w:val="24"/>
              </w:rPr>
              <w:t>2</w:t>
            </w:r>
            <w:r w:rsidR="0063091F">
              <w:rPr>
                <w:rFonts w:ascii="Times New Roman" w:hAnsi="Times New Roman" w:cs="Times New Roman"/>
                <w:sz w:val="24"/>
                <w:szCs w:val="24"/>
              </w:rPr>
              <w:t>9</w:t>
            </w:r>
          </w:p>
        </w:tc>
      </w:tr>
      <w:tr w:rsidR="0063091F" w:rsidTr="002300CD">
        <w:tc>
          <w:tcPr>
            <w:tcW w:w="3798" w:type="dxa"/>
          </w:tcPr>
          <w:p w:rsidR="00250AAD" w:rsidRDefault="00250AAD" w:rsidP="007A1694">
            <w:pPr>
              <w:rPr>
                <w:rFonts w:ascii="Times New Roman" w:hAnsi="Times New Roman" w:cs="Times New Roman"/>
                <w:sz w:val="24"/>
                <w:szCs w:val="24"/>
              </w:rPr>
            </w:pPr>
            <w:r>
              <w:rPr>
                <w:rFonts w:ascii="Times New Roman" w:hAnsi="Times New Roman" w:cs="Times New Roman"/>
                <w:sz w:val="24"/>
                <w:szCs w:val="24"/>
              </w:rPr>
              <w:t>Rate compared to GDP (</w:t>
            </w:r>
            <w:r w:rsidR="00C12D9C">
              <w:rPr>
                <w:rFonts w:ascii="Times New Roman" w:hAnsi="Times New Roman" w:cs="Times New Roman"/>
                <w:sz w:val="24"/>
                <w:szCs w:val="24"/>
              </w:rPr>
              <w:t>+/-)</w:t>
            </w:r>
          </w:p>
        </w:tc>
        <w:tc>
          <w:tcPr>
            <w:tcW w:w="1350" w:type="dxa"/>
          </w:tcPr>
          <w:p w:rsidR="00250AAD" w:rsidRDefault="009A3FA9" w:rsidP="007A1694">
            <w:pPr>
              <w:rPr>
                <w:rFonts w:ascii="Times New Roman" w:hAnsi="Times New Roman" w:cs="Times New Roman"/>
                <w:sz w:val="24"/>
                <w:szCs w:val="24"/>
              </w:rPr>
            </w:pPr>
            <w:r>
              <w:rPr>
                <w:rFonts w:ascii="Times New Roman" w:hAnsi="Times New Roman" w:cs="Times New Roman"/>
                <w:sz w:val="24"/>
                <w:szCs w:val="24"/>
              </w:rPr>
              <w:t>-</w:t>
            </w:r>
            <w:r w:rsidR="0096384D">
              <w:rPr>
                <w:rFonts w:ascii="Times New Roman" w:hAnsi="Times New Roman" w:cs="Times New Roman"/>
                <w:sz w:val="24"/>
                <w:szCs w:val="24"/>
              </w:rPr>
              <w:t>1.03</w:t>
            </w:r>
          </w:p>
        </w:tc>
        <w:tc>
          <w:tcPr>
            <w:tcW w:w="900" w:type="dxa"/>
          </w:tcPr>
          <w:p w:rsidR="00250AAD" w:rsidRDefault="009A3FA9" w:rsidP="007A1694">
            <w:pPr>
              <w:rPr>
                <w:rFonts w:ascii="Times New Roman" w:hAnsi="Times New Roman" w:cs="Times New Roman"/>
                <w:sz w:val="24"/>
                <w:szCs w:val="24"/>
              </w:rPr>
            </w:pPr>
            <w:r>
              <w:rPr>
                <w:rFonts w:ascii="Times New Roman" w:hAnsi="Times New Roman" w:cs="Times New Roman"/>
                <w:sz w:val="24"/>
                <w:szCs w:val="24"/>
              </w:rPr>
              <w:t>-</w:t>
            </w:r>
            <w:r w:rsidR="0096384D">
              <w:rPr>
                <w:rFonts w:ascii="Times New Roman" w:hAnsi="Times New Roman" w:cs="Times New Roman"/>
                <w:sz w:val="24"/>
                <w:szCs w:val="24"/>
              </w:rPr>
              <w:t>1.57</w:t>
            </w:r>
          </w:p>
        </w:tc>
        <w:tc>
          <w:tcPr>
            <w:tcW w:w="990" w:type="dxa"/>
          </w:tcPr>
          <w:p w:rsidR="00250AAD" w:rsidRDefault="009A3FA9" w:rsidP="007A1694">
            <w:pPr>
              <w:rPr>
                <w:rFonts w:ascii="Times New Roman" w:hAnsi="Times New Roman" w:cs="Times New Roman"/>
                <w:sz w:val="24"/>
                <w:szCs w:val="24"/>
              </w:rPr>
            </w:pPr>
            <w:r>
              <w:rPr>
                <w:rFonts w:ascii="Times New Roman" w:hAnsi="Times New Roman" w:cs="Times New Roman"/>
                <w:sz w:val="24"/>
                <w:szCs w:val="24"/>
              </w:rPr>
              <w:t>-1.56</w:t>
            </w:r>
          </w:p>
        </w:tc>
        <w:tc>
          <w:tcPr>
            <w:tcW w:w="1260" w:type="dxa"/>
          </w:tcPr>
          <w:p w:rsidR="00250AAD" w:rsidRDefault="009A3FA9" w:rsidP="007A1694">
            <w:pPr>
              <w:rPr>
                <w:rFonts w:ascii="Times New Roman" w:hAnsi="Times New Roman" w:cs="Times New Roman"/>
                <w:sz w:val="24"/>
                <w:szCs w:val="24"/>
              </w:rPr>
            </w:pPr>
            <w:r>
              <w:rPr>
                <w:rFonts w:ascii="Times New Roman" w:hAnsi="Times New Roman" w:cs="Times New Roman"/>
                <w:sz w:val="24"/>
                <w:szCs w:val="24"/>
              </w:rPr>
              <w:t>-0.98</w:t>
            </w:r>
          </w:p>
        </w:tc>
        <w:tc>
          <w:tcPr>
            <w:tcW w:w="1278" w:type="dxa"/>
          </w:tcPr>
          <w:p w:rsidR="00250AAD" w:rsidRDefault="008E4AA4" w:rsidP="007A1694">
            <w:pPr>
              <w:rPr>
                <w:rFonts w:ascii="Times New Roman" w:hAnsi="Times New Roman" w:cs="Times New Roman"/>
                <w:sz w:val="24"/>
                <w:szCs w:val="24"/>
              </w:rPr>
            </w:pPr>
            <w:r>
              <w:rPr>
                <w:rFonts w:ascii="Times New Roman" w:hAnsi="Times New Roman" w:cs="Times New Roman"/>
                <w:sz w:val="24"/>
                <w:szCs w:val="24"/>
              </w:rPr>
              <w:t>-0.99</w:t>
            </w:r>
          </w:p>
        </w:tc>
      </w:tr>
    </w:tbl>
    <w:p w:rsidR="00471C00" w:rsidRDefault="009635D5" w:rsidP="00BD3239">
      <w:pPr>
        <w:spacing w:line="480" w:lineRule="auto"/>
        <w:rPr>
          <w:rFonts w:ascii="Times New Roman" w:hAnsi="Times New Roman" w:cs="Times New Roman"/>
          <w:sz w:val="24"/>
          <w:szCs w:val="24"/>
        </w:rPr>
      </w:pPr>
      <w:r>
        <w:rPr>
          <w:rFonts w:ascii="Times New Roman" w:hAnsi="Times New Roman" w:cs="Times New Roman"/>
          <w:sz w:val="24"/>
          <w:szCs w:val="24"/>
        </w:rPr>
        <w:t xml:space="preserve">(Sources, </w:t>
      </w:r>
      <w:proofErr w:type="spellStart"/>
      <w:r>
        <w:rPr>
          <w:rFonts w:ascii="Times New Roman" w:hAnsi="Times New Roman" w:cs="Times New Roman"/>
          <w:sz w:val="24"/>
          <w:szCs w:val="24"/>
        </w:rPr>
        <w:t>Mudde</w:t>
      </w:r>
      <w:proofErr w:type="spellEnd"/>
      <w:r>
        <w:rPr>
          <w:rFonts w:ascii="Times New Roman" w:hAnsi="Times New Roman" w:cs="Times New Roman"/>
          <w:sz w:val="24"/>
          <w:szCs w:val="24"/>
        </w:rPr>
        <w:t>, 2018;</w:t>
      </w:r>
      <w:r w:rsidR="00907C11">
        <w:rPr>
          <w:rFonts w:ascii="Times New Roman" w:hAnsi="Times New Roman" w:cs="Times New Roman"/>
          <w:sz w:val="24"/>
          <w:szCs w:val="24"/>
        </w:rPr>
        <w:t xml:space="preserve"> Grand View Research, 2018)</w:t>
      </w:r>
    </w:p>
    <w:p w:rsidR="00293CB4" w:rsidRPr="00F50B42" w:rsidRDefault="00293CB4" w:rsidP="00293CB4">
      <w:pPr>
        <w:spacing w:line="480" w:lineRule="auto"/>
        <w:rPr>
          <w:rFonts w:ascii="Times New Roman" w:hAnsi="Times New Roman" w:cs="Times New Roman"/>
          <w:b/>
          <w:sz w:val="24"/>
          <w:szCs w:val="24"/>
        </w:rPr>
      </w:pPr>
      <w:r w:rsidRPr="00F50B42">
        <w:rPr>
          <w:rFonts w:ascii="Times New Roman" w:hAnsi="Times New Roman" w:cs="Times New Roman"/>
          <w:b/>
          <w:sz w:val="24"/>
          <w:szCs w:val="24"/>
        </w:rPr>
        <w:t>The justification</w:t>
      </w:r>
      <w:r w:rsidR="00F50B42">
        <w:rPr>
          <w:rFonts w:ascii="Times New Roman" w:hAnsi="Times New Roman" w:cs="Times New Roman"/>
          <w:b/>
          <w:sz w:val="24"/>
          <w:szCs w:val="24"/>
        </w:rPr>
        <w:t>s</w:t>
      </w:r>
      <w:r w:rsidRPr="00F50B42">
        <w:rPr>
          <w:rFonts w:ascii="Times New Roman" w:hAnsi="Times New Roman" w:cs="Times New Roman"/>
          <w:b/>
          <w:sz w:val="24"/>
          <w:szCs w:val="24"/>
        </w:rPr>
        <w:t xml:space="preserve"> for the Choice of Soft-drink Beverage </w:t>
      </w:r>
    </w:p>
    <w:p w:rsidR="00293CB4" w:rsidRPr="00293CB4" w:rsidRDefault="00293CB4" w:rsidP="00F50B4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t xml:space="preserve">First, the economic trends attributed to the U.S. soft-drink industry are key attractions toward investing in the sector. The prevailing economic trend in an industry constitutes the external environmental parameter, which determines the ability to sustain profitability, expansion, and continuous advancement. The rise in disposable income is a core economic </w:t>
      </w:r>
      <w:r w:rsidRPr="00293CB4">
        <w:rPr>
          <w:rFonts w:ascii="Times New Roman" w:hAnsi="Times New Roman" w:cs="Times New Roman"/>
          <w:sz w:val="24"/>
          <w:szCs w:val="24"/>
        </w:rPr>
        <w:lastRenderedPageBreak/>
        <w:t xml:space="preserve">indicator that increases the buyers’ spending pattern and bolsters the consumption demand for the beverage consumables in the long-term. </w:t>
      </w:r>
    </w:p>
    <w:p w:rsidR="00293CB4" w:rsidRPr="00293CB4" w:rsidRDefault="00293CB4" w:rsidP="00F50B4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t xml:space="preserve">Secondly, changes in social parameters that include awareness toward healthy beverages provide an important business opportunity because of the emergence of demand for new product portfolio. The strategic business venture aims to transform potential threats into an opportunity using the internal resources and competencies. Therefore, </w:t>
      </w:r>
      <w:proofErr w:type="spellStart"/>
      <w:r w:rsidRPr="00293CB4">
        <w:rPr>
          <w:rFonts w:ascii="Times New Roman" w:hAnsi="Times New Roman" w:cs="Times New Roman"/>
          <w:sz w:val="24"/>
          <w:szCs w:val="24"/>
        </w:rPr>
        <w:t>Kevian</w:t>
      </w:r>
      <w:proofErr w:type="spellEnd"/>
      <w:r w:rsidRPr="00293CB4">
        <w:rPr>
          <w:rFonts w:ascii="Times New Roman" w:hAnsi="Times New Roman" w:cs="Times New Roman"/>
          <w:sz w:val="24"/>
          <w:szCs w:val="24"/>
        </w:rPr>
        <w:t xml:space="preserve"> </w:t>
      </w:r>
      <w:proofErr w:type="gramStart"/>
      <w:r w:rsidRPr="00293CB4">
        <w:rPr>
          <w:rFonts w:ascii="Times New Roman" w:hAnsi="Times New Roman" w:cs="Times New Roman"/>
          <w:sz w:val="24"/>
          <w:szCs w:val="24"/>
        </w:rPr>
        <w:t>is endowed</w:t>
      </w:r>
      <w:proofErr w:type="gramEnd"/>
      <w:r w:rsidRPr="00293CB4">
        <w:rPr>
          <w:rFonts w:ascii="Times New Roman" w:hAnsi="Times New Roman" w:cs="Times New Roman"/>
          <w:sz w:val="24"/>
          <w:szCs w:val="24"/>
        </w:rPr>
        <w:t xml:space="preserve"> with creative employees, financial capability to acquire modern</w:t>
      </w:r>
      <w:bookmarkStart w:id="0" w:name="_GoBack"/>
      <w:bookmarkEnd w:id="0"/>
      <w:r w:rsidRPr="00293CB4">
        <w:rPr>
          <w:rFonts w:ascii="Times New Roman" w:hAnsi="Times New Roman" w:cs="Times New Roman"/>
          <w:sz w:val="24"/>
          <w:szCs w:val="24"/>
        </w:rPr>
        <w:t xml:space="preserve"> technologies, and flexibility to leverage on the changes in social paradigms. </w:t>
      </w:r>
    </w:p>
    <w:p w:rsidR="00293CB4" w:rsidRPr="00293CB4" w:rsidRDefault="00293CB4" w:rsidP="00F50B4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t xml:space="preserve">Moreover, the soft-drink industry is broad enough to hedge against market oversaturation and cutthroat competition. The product insight in the American soft drink sector comprises of carbonated drink, mineral and packed water, fruit beverages, energy and sports drinks, iced beverages, as well as a host of portfolios. Therefore, the broad product insight enhances diversification strategy to facilitate a business mitigate overdependence and generate additional streams of revenue. </w:t>
      </w:r>
    </w:p>
    <w:p w:rsidR="00293CB4" w:rsidRPr="00F50B42" w:rsidRDefault="00293CB4" w:rsidP="00293CB4">
      <w:pPr>
        <w:spacing w:line="480" w:lineRule="auto"/>
        <w:rPr>
          <w:rFonts w:ascii="Times New Roman" w:hAnsi="Times New Roman" w:cs="Times New Roman"/>
          <w:b/>
          <w:sz w:val="24"/>
          <w:szCs w:val="24"/>
        </w:rPr>
      </w:pPr>
      <w:r w:rsidRPr="00F50B42">
        <w:rPr>
          <w:rFonts w:ascii="Times New Roman" w:hAnsi="Times New Roman" w:cs="Times New Roman"/>
          <w:b/>
          <w:sz w:val="24"/>
          <w:szCs w:val="24"/>
        </w:rPr>
        <w:t xml:space="preserve">Strategic Option </w:t>
      </w:r>
    </w:p>
    <w:p w:rsidR="00293CB4" w:rsidRPr="00293CB4" w:rsidRDefault="00293CB4" w:rsidP="00F50B4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t xml:space="preserve">Integrating the first-mover strategy provides an organization with an intuitive appeal from the consumers’ perspective. A first-mover advantage (FMA) hinges on a literal interpretation of an adage early bird catches the worm to gain unique competitive advantages, which accords the management with an insurmountable head start (Suarez &amp; </w:t>
      </w:r>
      <w:proofErr w:type="spellStart"/>
      <w:r w:rsidRPr="00293CB4">
        <w:rPr>
          <w:rFonts w:ascii="Times New Roman" w:hAnsi="Times New Roman" w:cs="Times New Roman"/>
          <w:sz w:val="24"/>
          <w:szCs w:val="24"/>
        </w:rPr>
        <w:t>Lanzolla</w:t>
      </w:r>
      <w:proofErr w:type="spellEnd"/>
      <w:r w:rsidRPr="00293CB4">
        <w:rPr>
          <w:rFonts w:ascii="Times New Roman" w:hAnsi="Times New Roman" w:cs="Times New Roman"/>
          <w:sz w:val="24"/>
          <w:szCs w:val="24"/>
        </w:rPr>
        <w:t xml:space="preserve">, 2015). The pertinent advantages attributed to the FMA relate to technology leadership, control of the resource, and buyer switching costs (ibid). Notably, technology leadership boosters </w:t>
      </w:r>
      <w:proofErr w:type="spellStart"/>
      <w:r w:rsidRPr="00293CB4">
        <w:rPr>
          <w:rFonts w:ascii="Times New Roman" w:hAnsi="Times New Roman" w:cs="Times New Roman"/>
          <w:sz w:val="24"/>
          <w:szCs w:val="24"/>
        </w:rPr>
        <w:t>Kevian’s</w:t>
      </w:r>
      <w:proofErr w:type="spellEnd"/>
      <w:r w:rsidRPr="00293CB4">
        <w:rPr>
          <w:rFonts w:ascii="Times New Roman" w:hAnsi="Times New Roman" w:cs="Times New Roman"/>
          <w:sz w:val="24"/>
          <w:szCs w:val="24"/>
        </w:rPr>
        <w:t xml:space="preserve"> ability to reduce on cost using the accumulated learning and experiences from new concepts. </w:t>
      </w:r>
      <w:r w:rsidRPr="00293CB4">
        <w:rPr>
          <w:rFonts w:ascii="Times New Roman" w:hAnsi="Times New Roman" w:cs="Times New Roman"/>
          <w:sz w:val="24"/>
          <w:szCs w:val="24"/>
        </w:rPr>
        <w:lastRenderedPageBreak/>
        <w:t xml:space="preserve">Equally, the control of resources is a necessary advantage because </w:t>
      </w:r>
      <w:proofErr w:type="spellStart"/>
      <w:r w:rsidRPr="00293CB4">
        <w:rPr>
          <w:rFonts w:ascii="Times New Roman" w:hAnsi="Times New Roman" w:cs="Times New Roman"/>
          <w:sz w:val="24"/>
          <w:szCs w:val="24"/>
        </w:rPr>
        <w:t>Kevian</w:t>
      </w:r>
      <w:proofErr w:type="spellEnd"/>
      <w:r w:rsidRPr="00293CB4">
        <w:rPr>
          <w:rFonts w:ascii="Times New Roman" w:hAnsi="Times New Roman" w:cs="Times New Roman"/>
          <w:sz w:val="24"/>
          <w:szCs w:val="24"/>
        </w:rPr>
        <w:t xml:space="preserve"> can open a new restaurant in the strategic region, develop inventive products to new consumer segments, and build robust resources to hamper entrant into the market by other competitors. </w:t>
      </w:r>
    </w:p>
    <w:p w:rsidR="00293CB4" w:rsidRDefault="00293CB4" w:rsidP="00C000B2">
      <w:pPr>
        <w:spacing w:line="480" w:lineRule="auto"/>
        <w:ind w:firstLine="720"/>
        <w:rPr>
          <w:rFonts w:ascii="Times New Roman" w:hAnsi="Times New Roman" w:cs="Times New Roman"/>
          <w:sz w:val="24"/>
          <w:szCs w:val="24"/>
        </w:rPr>
      </w:pPr>
      <w:r w:rsidRPr="00293CB4">
        <w:rPr>
          <w:rFonts w:ascii="Times New Roman" w:hAnsi="Times New Roman" w:cs="Times New Roman"/>
          <w:sz w:val="24"/>
          <w:szCs w:val="24"/>
        </w:rPr>
        <w:t xml:space="preserve">However, the FMA provides significant disadvantages because of uncertainty and unpredictable changes in technology as well as market dynamism. A business needs to develop robust interventions to implement and sustain the benefits of FMA (HBR, 2015). </w:t>
      </w:r>
      <w:proofErr w:type="spellStart"/>
      <w:r w:rsidRPr="00293CB4">
        <w:rPr>
          <w:rFonts w:ascii="Times New Roman" w:hAnsi="Times New Roman" w:cs="Times New Roman"/>
          <w:sz w:val="24"/>
          <w:szCs w:val="24"/>
        </w:rPr>
        <w:t>Kevian</w:t>
      </w:r>
      <w:proofErr w:type="spellEnd"/>
      <w:r w:rsidRPr="00293CB4">
        <w:rPr>
          <w:rFonts w:ascii="Times New Roman" w:hAnsi="Times New Roman" w:cs="Times New Roman"/>
          <w:sz w:val="24"/>
          <w:szCs w:val="24"/>
        </w:rPr>
        <w:t xml:space="preserve"> Beverage can utilize four possible combinations of a slow and fast-changing market or technological advancements (ibid). For example, a ‘calm-waters’ approach is essential when the level of market evolution and technology changes are slow (ibid). Secondly, ‘market lead’ occurs when technological advancement is gradual in contrast to the rapid changes in market evolution (ibid). Conversely, ‘technology lead’ strategy can be harnessed when the rate of change in technology is faster compared to the slow evolutions in the market parameter (ibid). Lastly, implementing an FMA option utilizes a ‘rough-waters’ model because of the steady advancements in technology and market parameter (ibid). Therefore, </w:t>
      </w:r>
      <w:proofErr w:type="spellStart"/>
      <w:r w:rsidRPr="00293CB4">
        <w:rPr>
          <w:rFonts w:ascii="Times New Roman" w:hAnsi="Times New Roman" w:cs="Times New Roman"/>
          <w:sz w:val="24"/>
          <w:szCs w:val="24"/>
        </w:rPr>
        <w:t>Kevian</w:t>
      </w:r>
      <w:proofErr w:type="spellEnd"/>
      <w:r w:rsidRPr="00293CB4">
        <w:rPr>
          <w:rFonts w:ascii="Times New Roman" w:hAnsi="Times New Roman" w:cs="Times New Roman"/>
          <w:sz w:val="24"/>
          <w:szCs w:val="24"/>
        </w:rPr>
        <w:t xml:space="preserve"> can sustain the benefits of an FMA strategic option by devising strategies that suit the prevailing levels of technology and market evolutions.</w:t>
      </w:r>
    </w:p>
    <w:p w:rsidR="002654A4" w:rsidRPr="002654A4" w:rsidRDefault="002654A4" w:rsidP="002654A4">
      <w:pPr>
        <w:pStyle w:val="Caption"/>
        <w:keepNext/>
        <w:rPr>
          <w:rFonts w:ascii="Times New Roman" w:hAnsi="Times New Roman" w:cs="Times New Roman"/>
          <w:b w:val="0"/>
          <w:i/>
          <w:color w:val="auto"/>
          <w:sz w:val="24"/>
          <w:szCs w:val="24"/>
        </w:rPr>
      </w:pPr>
      <w:r w:rsidRPr="002654A4">
        <w:rPr>
          <w:rFonts w:ascii="Times New Roman" w:hAnsi="Times New Roman" w:cs="Times New Roman"/>
          <w:b w:val="0"/>
          <w:i/>
          <w:color w:val="auto"/>
          <w:sz w:val="24"/>
          <w:szCs w:val="24"/>
        </w:rPr>
        <w:lastRenderedPageBreak/>
        <w:t xml:space="preserve">Figure </w:t>
      </w:r>
      <w:r>
        <w:rPr>
          <w:rFonts w:ascii="Times New Roman" w:hAnsi="Times New Roman" w:cs="Times New Roman"/>
          <w:b w:val="0"/>
          <w:i/>
          <w:color w:val="auto"/>
          <w:sz w:val="24"/>
          <w:szCs w:val="24"/>
        </w:rPr>
        <w:fldChar w:fldCharType="begin"/>
      </w:r>
      <w:r>
        <w:rPr>
          <w:rFonts w:ascii="Times New Roman" w:hAnsi="Times New Roman" w:cs="Times New Roman"/>
          <w:b w:val="0"/>
          <w:i/>
          <w:color w:val="auto"/>
          <w:sz w:val="24"/>
          <w:szCs w:val="24"/>
        </w:rPr>
        <w:instrText xml:space="preserve"> SEQ Figure \* ARABIC </w:instrText>
      </w:r>
      <w:r>
        <w:rPr>
          <w:rFonts w:ascii="Times New Roman" w:hAnsi="Times New Roman" w:cs="Times New Roman"/>
          <w:b w:val="0"/>
          <w:i/>
          <w:color w:val="auto"/>
          <w:sz w:val="24"/>
          <w:szCs w:val="24"/>
        </w:rPr>
        <w:fldChar w:fldCharType="separate"/>
      </w:r>
      <w:r>
        <w:rPr>
          <w:rFonts w:ascii="Times New Roman" w:hAnsi="Times New Roman" w:cs="Times New Roman"/>
          <w:b w:val="0"/>
          <w:i/>
          <w:noProof/>
          <w:color w:val="auto"/>
          <w:sz w:val="24"/>
          <w:szCs w:val="24"/>
        </w:rPr>
        <w:t>1</w:t>
      </w:r>
      <w:r>
        <w:rPr>
          <w:rFonts w:ascii="Times New Roman" w:hAnsi="Times New Roman" w:cs="Times New Roman"/>
          <w:b w:val="0"/>
          <w:i/>
          <w:color w:val="auto"/>
          <w:sz w:val="24"/>
          <w:szCs w:val="24"/>
        </w:rPr>
        <w:fldChar w:fldCharType="end"/>
      </w:r>
      <w:r w:rsidRPr="002654A4">
        <w:rPr>
          <w:rFonts w:ascii="Times New Roman" w:hAnsi="Times New Roman" w:cs="Times New Roman"/>
          <w:b w:val="0"/>
          <w:i/>
          <w:color w:val="auto"/>
          <w:sz w:val="24"/>
          <w:szCs w:val="24"/>
        </w:rPr>
        <w:t>:</w:t>
      </w:r>
      <w:r>
        <w:rPr>
          <w:rFonts w:ascii="Times New Roman" w:hAnsi="Times New Roman" w:cs="Times New Roman"/>
          <w:b w:val="0"/>
          <w:i/>
          <w:color w:val="auto"/>
          <w:sz w:val="24"/>
          <w:szCs w:val="24"/>
        </w:rPr>
        <w:t xml:space="preserve"> </w:t>
      </w:r>
      <w:r w:rsidRPr="002654A4">
        <w:rPr>
          <w:rFonts w:ascii="Times New Roman" w:hAnsi="Times New Roman" w:cs="Times New Roman"/>
          <w:b w:val="0"/>
          <w:i/>
          <w:color w:val="auto"/>
          <w:sz w:val="24"/>
          <w:szCs w:val="24"/>
        </w:rPr>
        <w:t>The Combined Effects of Market and Technological Changes</w:t>
      </w:r>
    </w:p>
    <w:p w:rsidR="002654A4" w:rsidRDefault="002654A4" w:rsidP="002654A4">
      <w:pPr>
        <w:keepNext/>
        <w:spacing w:line="480" w:lineRule="auto"/>
      </w:pPr>
      <w:r>
        <w:rPr>
          <w:noProof/>
        </w:rPr>
        <w:drawing>
          <wp:inline distT="0" distB="0" distL="0" distR="0" wp14:anchorId="26F8CECF" wp14:editId="322294AC">
            <wp:extent cx="3933825" cy="2762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933825" cy="2762250"/>
                    </a:xfrm>
                    <a:prstGeom prst="rect">
                      <a:avLst/>
                    </a:prstGeom>
                  </pic:spPr>
                </pic:pic>
              </a:graphicData>
            </a:graphic>
          </wp:inline>
        </w:drawing>
      </w:r>
    </w:p>
    <w:p w:rsidR="002654A4" w:rsidRPr="00DB3376" w:rsidRDefault="002654A4" w:rsidP="002654A4">
      <w:pPr>
        <w:pStyle w:val="Caption"/>
        <w:rPr>
          <w:rFonts w:ascii="Times New Roman" w:hAnsi="Times New Roman" w:cs="Times New Roman"/>
          <w:b w:val="0"/>
          <w:color w:val="auto"/>
          <w:sz w:val="24"/>
          <w:szCs w:val="24"/>
        </w:rPr>
      </w:pPr>
      <w:r w:rsidRPr="00DB3376">
        <w:rPr>
          <w:rFonts w:ascii="Times New Roman" w:hAnsi="Times New Roman" w:cs="Times New Roman"/>
          <w:b w:val="0"/>
          <w:color w:val="auto"/>
          <w:sz w:val="24"/>
          <w:szCs w:val="24"/>
        </w:rPr>
        <w:t>(Source, Harvard Business Review, 2015)</w:t>
      </w:r>
    </w:p>
    <w:p w:rsidR="007D3EF8" w:rsidRPr="007D3EF8" w:rsidRDefault="007D3EF8" w:rsidP="007D3EF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2: Distribution, Risk Management Plan, and S.W.O.T Analysis</w:t>
      </w:r>
    </w:p>
    <w:p w:rsidR="007D3EF8" w:rsidRDefault="007449EA" w:rsidP="00BD3239">
      <w:pPr>
        <w:spacing w:line="480" w:lineRule="auto"/>
        <w:rPr>
          <w:rFonts w:ascii="Times New Roman" w:hAnsi="Times New Roman" w:cs="Times New Roman"/>
          <w:b/>
          <w:sz w:val="24"/>
          <w:szCs w:val="24"/>
        </w:rPr>
      </w:pPr>
      <w:r>
        <w:rPr>
          <w:rFonts w:ascii="Times New Roman" w:hAnsi="Times New Roman" w:cs="Times New Roman"/>
          <w:b/>
          <w:sz w:val="24"/>
          <w:szCs w:val="24"/>
        </w:rPr>
        <w:t>Overview of Company’s Distribution Channel</w:t>
      </w:r>
    </w:p>
    <w:p w:rsidR="000C3F76" w:rsidRPr="000C3F76" w:rsidRDefault="00456C0E" w:rsidP="000C3F76">
      <w:pPr>
        <w:spacing w:line="480" w:lineRule="auto"/>
        <w:rPr>
          <w:rFonts w:ascii="Times New Roman" w:hAnsi="Times New Roman" w:cs="Times New Roman"/>
          <w:sz w:val="24"/>
          <w:szCs w:val="24"/>
        </w:rPr>
      </w:pPr>
      <w:r>
        <w:rPr>
          <w:rFonts w:ascii="Times New Roman" w:hAnsi="Times New Roman" w:cs="Times New Roman"/>
          <w:sz w:val="24"/>
          <w:szCs w:val="24"/>
        </w:rPr>
        <w:tab/>
      </w:r>
      <w:r w:rsidR="000C3F76" w:rsidRPr="000C3F76">
        <w:rPr>
          <w:rFonts w:ascii="Times New Roman" w:hAnsi="Times New Roman" w:cs="Times New Roman"/>
          <w:sz w:val="24"/>
          <w:szCs w:val="24"/>
        </w:rPr>
        <w:t>A direct channel of distribution is an appropriate approach to facilitate service-delivery in the early period. A direct channel of distribution aims to eradicate reliance of the intermediaries, link the producer to the end consumers, and save on channel costs (</w:t>
      </w:r>
      <w:proofErr w:type="spellStart"/>
      <w:r w:rsidR="000C3F76" w:rsidRPr="000C3F76">
        <w:rPr>
          <w:rFonts w:ascii="Times New Roman" w:hAnsi="Times New Roman" w:cs="Times New Roman"/>
          <w:sz w:val="24"/>
          <w:szCs w:val="24"/>
        </w:rPr>
        <w:t>Kotler</w:t>
      </w:r>
      <w:proofErr w:type="spellEnd"/>
      <w:r w:rsidR="000C3F76" w:rsidRPr="000C3F76">
        <w:rPr>
          <w:rFonts w:ascii="Times New Roman" w:hAnsi="Times New Roman" w:cs="Times New Roman"/>
          <w:sz w:val="24"/>
          <w:szCs w:val="24"/>
        </w:rPr>
        <w:t xml:space="preserve"> &amp; Armstrong, 2017). A direct-to-consumers approach provides the best distribution outlet because it promotes after-sales services, enhances customization, and yield faster delivery (ibid). However, a direct channel of distribution requires a proactive inventory management practices in an organization to hedge against the manifestation of stock-out scenario, which hampers service-delivery. Therefore, </w:t>
      </w:r>
      <w:proofErr w:type="spellStart"/>
      <w:r w:rsidR="000C3F76" w:rsidRPr="000C3F76">
        <w:rPr>
          <w:rFonts w:ascii="Times New Roman" w:hAnsi="Times New Roman" w:cs="Times New Roman"/>
          <w:sz w:val="24"/>
          <w:szCs w:val="24"/>
        </w:rPr>
        <w:t>Kevian</w:t>
      </w:r>
      <w:proofErr w:type="spellEnd"/>
      <w:r w:rsidR="000C3F76" w:rsidRPr="000C3F76">
        <w:rPr>
          <w:rFonts w:ascii="Times New Roman" w:hAnsi="Times New Roman" w:cs="Times New Roman"/>
          <w:sz w:val="24"/>
          <w:szCs w:val="24"/>
        </w:rPr>
        <w:t xml:space="preserve"> Beverage plans to lease two small distribution warehouses to replenish the raw materials and facilitate prompt delivery of the direct customer orders. </w:t>
      </w:r>
    </w:p>
    <w:p w:rsidR="000C3F76" w:rsidRPr="00C000B2" w:rsidRDefault="000C3F76" w:rsidP="000C3F76">
      <w:pPr>
        <w:spacing w:line="480" w:lineRule="auto"/>
        <w:rPr>
          <w:rFonts w:ascii="Times New Roman" w:hAnsi="Times New Roman" w:cs="Times New Roman"/>
          <w:b/>
          <w:sz w:val="24"/>
          <w:szCs w:val="24"/>
        </w:rPr>
      </w:pPr>
      <w:r w:rsidRPr="00C000B2">
        <w:rPr>
          <w:rFonts w:ascii="Times New Roman" w:hAnsi="Times New Roman" w:cs="Times New Roman"/>
          <w:b/>
          <w:sz w:val="24"/>
          <w:szCs w:val="24"/>
        </w:rPr>
        <w:t>Risk Management Plan</w:t>
      </w:r>
    </w:p>
    <w:p w:rsidR="000C3F76" w:rsidRPr="000C3F76" w:rsidRDefault="000C3F76" w:rsidP="00C000B2">
      <w:pPr>
        <w:spacing w:line="480" w:lineRule="auto"/>
        <w:ind w:firstLine="720"/>
        <w:rPr>
          <w:rFonts w:ascii="Times New Roman" w:hAnsi="Times New Roman" w:cs="Times New Roman"/>
          <w:sz w:val="24"/>
          <w:szCs w:val="24"/>
        </w:rPr>
      </w:pPr>
      <w:r w:rsidRPr="000C3F76">
        <w:rPr>
          <w:rFonts w:ascii="Times New Roman" w:hAnsi="Times New Roman" w:cs="Times New Roman"/>
          <w:sz w:val="24"/>
          <w:szCs w:val="24"/>
        </w:rPr>
        <w:lastRenderedPageBreak/>
        <w:t>Businesses refer uncertainty that can hamper seamless operation and ability to achieve the corporate goals. Business risks are broad and result in fundamental dire ramifications that include bankruptcy, loss of profit, and unforeseen closures (</w:t>
      </w:r>
      <w:proofErr w:type="spellStart"/>
      <w:r w:rsidRPr="000C3F76">
        <w:rPr>
          <w:rFonts w:ascii="Times New Roman" w:hAnsi="Times New Roman" w:cs="Times New Roman"/>
          <w:sz w:val="24"/>
          <w:szCs w:val="24"/>
        </w:rPr>
        <w:t>Reuvid</w:t>
      </w:r>
      <w:proofErr w:type="spellEnd"/>
      <w:r w:rsidRPr="000C3F76">
        <w:rPr>
          <w:rFonts w:ascii="Times New Roman" w:hAnsi="Times New Roman" w:cs="Times New Roman"/>
          <w:sz w:val="24"/>
          <w:szCs w:val="24"/>
        </w:rPr>
        <w:t xml:space="preserve">, 2013). A business needs to design an elaborate risk management plan to identify and mitigate the manifestation of the menace. Consequently, soft-drink sector entails fundamental risk parameters that include strategic, regulation, and operational. </w:t>
      </w:r>
    </w:p>
    <w:p w:rsidR="000C3F76" w:rsidRPr="000C3F76" w:rsidRDefault="000C3F76" w:rsidP="004A2138">
      <w:pPr>
        <w:spacing w:line="480" w:lineRule="auto"/>
        <w:ind w:firstLine="720"/>
        <w:rPr>
          <w:rFonts w:ascii="Times New Roman" w:hAnsi="Times New Roman" w:cs="Times New Roman"/>
          <w:sz w:val="24"/>
          <w:szCs w:val="24"/>
        </w:rPr>
      </w:pPr>
      <w:r w:rsidRPr="000C3F76">
        <w:rPr>
          <w:rFonts w:ascii="Times New Roman" w:hAnsi="Times New Roman" w:cs="Times New Roman"/>
          <w:sz w:val="24"/>
          <w:szCs w:val="24"/>
        </w:rPr>
        <w:t>Notably, the strategic risks are prevalent in a small-scale venture because of the lack of experience and necessary expertise. A strategic risk regard to inefficacies of a stipulated business plan because of the adverse paradigm shift (</w:t>
      </w:r>
      <w:proofErr w:type="spellStart"/>
      <w:r w:rsidRPr="000C3F76">
        <w:rPr>
          <w:rFonts w:ascii="Times New Roman" w:hAnsi="Times New Roman" w:cs="Times New Roman"/>
          <w:sz w:val="24"/>
          <w:szCs w:val="24"/>
        </w:rPr>
        <w:t>Reuvid</w:t>
      </w:r>
      <w:proofErr w:type="spellEnd"/>
      <w:r w:rsidRPr="000C3F76">
        <w:rPr>
          <w:rFonts w:ascii="Times New Roman" w:hAnsi="Times New Roman" w:cs="Times New Roman"/>
          <w:sz w:val="24"/>
          <w:szCs w:val="24"/>
        </w:rPr>
        <w:t xml:space="preserve">, 2013). The profound strategic risks can emerge from changes in customers’ preferences toward the prevailing product portfolios, changes in technologies to result in obsolescence of current machinery, and unsuccessful merges (ibid). Managing strategic risks lack a single plan because of the rapid changes. However, adopting conventional strategic management concepts that include regular environmental scanning using P.E.S.T.L.E, S.W.O.T. tool, and Porter’s Five Forces of Industry Competitiveness equip a business to respond promptly to changes in strategic implementation. </w:t>
      </w:r>
    </w:p>
    <w:p w:rsidR="000C3F76" w:rsidRPr="000C3F76" w:rsidRDefault="000C3F76" w:rsidP="004A2138">
      <w:pPr>
        <w:spacing w:line="480" w:lineRule="auto"/>
        <w:ind w:firstLine="720"/>
        <w:rPr>
          <w:rFonts w:ascii="Times New Roman" w:hAnsi="Times New Roman" w:cs="Times New Roman"/>
          <w:sz w:val="24"/>
          <w:szCs w:val="24"/>
        </w:rPr>
      </w:pPr>
      <w:r w:rsidRPr="000C3F76">
        <w:rPr>
          <w:rFonts w:ascii="Times New Roman" w:hAnsi="Times New Roman" w:cs="Times New Roman"/>
          <w:sz w:val="24"/>
          <w:szCs w:val="24"/>
        </w:rPr>
        <w:t xml:space="preserve">Another set of business risks in soft-drink industry regard to regulation risks, which </w:t>
      </w:r>
      <w:proofErr w:type="gramStart"/>
      <w:r w:rsidRPr="000C3F76">
        <w:rPr>
          <w:rFonts w:ascii="Times New Roman" w:hAnsi="Times New Roman" w:cs="Times New Roman"/>
          <w:sz w:val="24"/>
          <w:szCs w:val="24"/>
        </w:rPr>
        <w:t>are manifested</w:t>
      </w:r>
      <w:proofErr w:type="gramEnd"/>
      <w:r w:rsidRPr="000C3F76">
        <w:rPr>
          <w:rFonts w:ascii="Times New Roman" w:hAnsi="Times New Roman" w:cs="Times New Roman"/>
          <w:sz w:val="24"/>
          <w:szCs w:val="24"/>
        </w:rPr>
        <w:t xml:space="preserve"> through changes in laws and regulations. The cost of compliance is a prominent concern among the business managers because of the unpredictability and need to ensure adherence to the new framework (</w:t>
      </w:r>
      <w:proofErr w:type="spellStart"/>
      <w:r w:rsidRPr="000C3F76">
        <w:rPr>
          <w:rFonts w:ascii="Times New Roman" w:hAnsi="Times New Roman" w:cs="Times New Roman"/>
          <w:sz w:val="24"/>
          <w:szCs w:val="24"/>
        </w:rPr>
        <w:t>Reuvid</w:t>
      </w:r>
      <w:proofErr w:type="spellEnd"/>
      <w:r w:rsidRPr="000C3F76">
        <w:rPr>
          <w:rFonts w:ascii="Times New Roman" w:hAnsi="Times New Roman" w:cs="Times New Roman"/>
          <w:sz w:val="24"/>
          <w:szCs w:val="24"/>
        </w:rPr>
        <w:t xml:space="preserve">, 2013). The U.S. Food and Drug Regulation Agency, WHO, Occupational Safety and Health Act Agency (OSHA) and other agencies represent the sources of regulations that influence the beverage sector. For example, OSHA stipulates strict adherence to optimum safety mechanisms in an organization, which requires investment made to acquire necessary gears and gadgets. Similar to strategic risk, mitigating regulation-related risks </w:t>
      </w:r>
      <w:r w:rsidRPr="000C3F76">
        <w:rPr>
          <w:rFonts w:ascii="Times New Roman" w:hAnsi="Times New Roman" w:cs="Times New Roman"/>
          <w:sz w:val="24"/>
          <w:szCs w:val="24"/>
        </w:rPr>
        <w:lastRenderedPageBreak/>
        <w:t xml:space="preserve">lacks universal models to integrate. Therefore, </w:t>
      </w:r>
      <w:proofErr w:type="spellStart"/>
      <w:r w:rsidRPr="000C3F76">
        <w:rPr>
          <w:rFonts w:ascii="Times New Roman" w:hAnsi="Times New Roman" w:cs="Times New Roman"/>
          <w:sz w:val="24"/>
          <w:szCs w:val="24"/>
        </w:rPr>
        <w:t>Kevian</w:t>
      </w:r>
      <w:proofErr w:type="spellEnd"/>
      <w:r w:rsidRPr="000C3F76">
        <w:rPr>
          <w:rFonts w:ascii="Times New Roman" w:hAnsi="Times New Roman" w:cs="Times New Roman"/>
          <w:sz w:val="24"/>
          <w:szCs w:val="24"/>
        </w:rPr>
        <w:t xml:space="preserve"> Beverage ought to research new regulatory frameworks to ensure compliance. </w:t>
      </w:r>
    </w:p>
    <w:p w:rsidR="00115E3A" w:rsidRPr="00F27457" w:rsidRDefault="000C3F76" w:rsidP="004A2138">
      <w:pPr>
        <w:spacing w:line="480" w:lineRule="auto"/>
        <w:ind w:firstLine="720"/>
        <w:rPr>
          <w:rFonts w:ascii="Times New Roman" w:hAnsi="Times New Roman" w:cs="Times New Roman"/>
          <w:sz w:val="24"/>
          <w:szCs w:val="24"/>
        </w:rPr>
      </w:pPr>
      <w:r w:rsidRPr="000C3F76">
        <w:rPr>
          <w:rFonts w:ascii="Times New Roman" w:hAnsi="Times New Roman" w:cs="Times New Roman"/>
          <w:sz w:val="24"/>
          <w:szCs w:val="24"/>
        </w:rPr>
        <w:t>Equally, financial risks have adverse consequences because they affect the financial structure and the cadres of transactions in the business. Dependent on a single buyer is a concern because of switching to competitors and inflexibility (</w:t>
      </w:r>
      <w:proofErr w:type="spellStart"/>
      <w:r w:rsidRPr="000C3F76">
        <w:rPr>
          <w:rFonts w:ascii="Times New Roman" w:hAnsi="Times New Roman" w:cs="Times New Roman"/>
          <w:sz w:val="24"/>
          <w:szCs w:val="24"/>
        </w:rPr>
        <w:t>Reuvid</w:t>
      </w:r>
      <w:proofErr w:type="spellEnd"/>
      <w:r w:rsidRPr="000C3F76">
        <w:rPr>
          <w:rFonts w:ascii="Times New Roman" w:hAnsi="Times New Roman" w:cs="Times New Roman"/>
          <w:sz w:val="24"/>
          <w:szCs w:val="24"/>
        </w:rPr>
        <w:t xml:space="preserve">, 2013). Moreover, changes in monetary parameters that include a rise in interest rates, which affects the debt management (ibid). Therefore, a thorough and regular financial risk assessment should focus on the cash flow operation, credit terms, and external economic parameters. </w:t>
      </w:r>
      <w:r w:rsidR="00755CF3">
        <w:rPr>
          <w:rFonts w:ascii="Times New Roman" w:hAnsi="Times New Roman" w:cs="Times New Roman"/>
          <w:sz w:val="24"/>
          <w:szCs w:val="24"/>
        </w:rPr>
        <w:t xml:space="preserve"> </w:t>
      </w:r>
    </w:p>
    <w:p w:rsidR="007449EA" w:rsidRDefault="007449EA" w:rsidP="00BD3239">
      <w:pPr>
        <w:spacing w:line="480" w:lineRule="auto"/>
        <w:rPr>
          <w:rFonts w:ascii="Times New Roman" w:hAnsi="Times New Roman" w:cs="Times New Roman"/>
          <w:b/>
          <w:sz w:val="24"/>
          <w:szCs w:val="24"/>
        </w:rPr>
      </w:pPr>
      <w:r>
        <w:rPr>
          <w:rFonts w:ascii="Times New Roman" w:hAnsi="Times New Roman" w:cs="Times New Roman"/>
          <w:b/>
          <w:sz w:val="24"/>
          <w:szCs w:val="24"/>
        </w:rPr>
        <w:t>S.W.O.T Analysis</w:t>
      </w:r>
    </w:p>
    <w:tbl>
      <w:tblPr>
        <w:tblStyle w:val="TableGrid"/>
        <w:tblW w:w="0" w:type="auto"/>
        <w:tblLook w:val="04A0" w:firstRow="1" w:lastRow="0" w:firstColumn="1" w:lastColumn="0" w:noHBand="0" w:noVBand="1"/>
      </w:tblPr>
      <w:tblGrid>
        <w:gridCol w:w="4788"/>
        <w:gridCol w:w="4788"/>
      </w:tblGrid>
      <w:tr w:rsidR="00051E8B" w:rsidTr="00051E8B">
        <w:tc>
          <w:tcPr>
            <w:tcW w:w="4788" w:type="dxa"/>
          </w:tcPr>
          <w:p w:rsidR="00051E8B" w:rsidRDefault="00051E8B" w:rsidP="00056465">
            <w:pPr>
              <w:jc w:val="center"/>
              <w:rPr>
                <w:rFonts w:ascii="Times New Roman" w:hAnsi="Times New Roman" w:cs="Times New Roman"/>
                <w:b/>
                <w:sz w:val="24"/>
                <w:szCs w:val="24"/>
              </w:rPr>
            </w:pPr>
            <w:r w:rsidRPr="00051E8B">
              <w:rPr>
                <w:rFonts w:ascii="Times New Roman" w:hAnsi="Times New Roman" w:cs="Times New Roman"/>
                <w:b/>
                <w:sz w:val="24"/>
                <w:szCs w:val="24"/>
              </w:rPr>
              <w:t>Strengths</w:t>
            </w:r>
          </w:p>
          <w:p w:rsidR="00645774" w:rsidRPr="00645774" w:rsidRDefault="00A3287C" w:rsidP="00056465">
            <w:pPr>
              <w:pStyle w:val="ListParagraph"/>
              <w:numPr>
                <w:ilvl w:val="0"/>
                <w:numId w:val="3"/>
              </w:numPr>
              <w:rPr>
                <w:rFonts w:ascii="Times New Roman" w:hAnsi="Times New Roman" w:cs="Times New Roman"/>
                <w:sz w:val="24"/>
                <w:szCs w:val="24"/>
              </w:rPr>
            </w:pPr>
            <w:r w:rsidRPr="00D125C7">
              <w:rPr>
                <w:rFonts w:ascii="Times New Roman" w:hAnsi="Times New Roman" w:cs="Times New Roman"/>
                <w:sz w:val="24"/>
                <w:szCs w:val="24"/>
              </w:rPr>
              <w:t>Financial endowments</w:t>
            </w:r>
            <w:r w:rsidR="0021789C">
              <w:rPr>
                <w:rFonts w:ascii="Times New Roman" w:hAnsi="Times New Roman" w:cs="Times New Roman"/>
                <w:sz w:val="24"/>
                <w:szCs w:val="24"/>
              </w:rPr>
              <w:t xml:space="preserve"> to sustain technological advancements</w:t>
            </w:r>
          </w:p>
          <w:p w:rsidR="00645774" w:rsidRPr="00645774" w:rsidRDefault="00717C09" w:rsidP="0005646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Adoption of E-commerce models to improve efficiencies in</w:t>
            </w:r>
            <w:r w:rsidR="00140526">
              <w:rPr>
                <w:rFonts w:ascii="Times New Roman" w:hAnsi="Times New Roman" w:cs="Times New Roman"/>
                <w:sz w:val="24"/>
                <w:szCs w:val="24"/>
              </w:rPr>
              <w:t xml:space="preserve"> sales and</w:t>
            </w:r>
            <w:r>
              <w:rPr>
                <w:rFonts w:ascii="Times New Roman" w:hAnsi="Times New Roman" w:cs="Times New Roman"/>
                <w:sz w:val="24"/>
                <w:szCs w:val="24"/>
              </w:rPr>
              <w:t xml:space="preserve"> marketi</w:t>
            </w:r>
            <w:r w:rsidR="00140526">
              <w:rPr>
                <w:rFonts w:ascii="Times New Roman" w:hAnsi="Times New Roman" w:cs="Times New Roman"/>
                <w:sz w:val="24"/>
                <w:szCs w:val="24"/>
              </w:rPr>
              <w:t>ng processes</w:t>
            </w:r>
          </w:p>
          <w:p w:rsidR="00645774" w:rsidRPr="00645774" w:rsidRDefault="00140526" w:rsidP="0005646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Innovative employees and committed sales forces</w:t>
            </w:r>
          </w:p>
          <w:p w:rsidR="00645774" w:rsidRPr="00645774" w:rsidRDefault="00967EEF" w:rsidP="00056465">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Current capital structure characterized by private limited incorporation guarantee </w:t>
            </w:r>
            <w:r w:rsidR="00A239A4">
              <w:rPr>
                <w:rFonts w:ascii="Times New Roman" w:hAnsi="Times New Roman" w:cs="Times New Roman"/>
                <w:sz w:val="24"/>
                <w:szCs w:val="24"/>
              </w:rPr>
              <w:t>availability of funds to integrate new technologies and machineries using the right-issues</w:t>
            </w:r>
          </w:p>
          <w:p w:rsidR="00645774" w:rsidRPr="00645774" w:rsidRDefault="008D33A9" w:rsidP="00056465">
            <w:pPr>
              <w:pStyle w:val="ListParagraph"/>
              <w:numPr>
                <w:ilvl w:val="0"/>
                <w:numId w:val="3"/>
              </w:numPr>
              <w:rPr>
                <w:rFonts w:ascii="Times New Roman" w:hAnsi="Times New Roman" w:cs="Times New Roman"/>
                <w:b/>
                <w:sz w:val="24"/>
                <w:szCs w:val="24"/>
              </w:rPr>
            </w:pPr>
            <w:r>
              <w:rPr>
                <w:rFonts w:ascii="Times New Roman" w:hAnsi="Times New Roman" w:cs="Times New Roman"/>
                <w:sz w:val="24"/>
                <w:szCs w:val="24"/>
              </w:rPr>
              <w:t>The cadres of organization culture dimensions and philosophy provide adequate resources to implement a first-mover advantage (FMA) strategic option</w:t>
            </w:r>
          </w:p>
        </w:tc>
        <w:tc>
          <w:tcPr>
            <w:tcW w:w="4788" w:type="dxa"/>
          </w:tcPr>
          <w:p w:rsidR="00051E8B" w:rsidRDefault="007D37C6" w:rsidP="00056465">
            <w:pPr>
              <w:jc w:val="center"/>
              <w:rPr>
                <w:rFonts w:ascii="Times New Roman" w:hAnsi="Times New Roman" w:cs="Times New Roman"/>
                <w:b/>
                <w:sz w:val="24"/>
                <w:szCs w:val="24"/>
              </w:rPr>
            </w:pPr>
            <w:r>
              <w:rPr>
                <w:rFonts w:ascii="Times New Roman" w:hAnsi="Times New Roman" w:cs="Times New Roman"/>
                <w:b/>
                <w:sz w:val="24"/>
                <w:szCs w:val="24"/>
              </w:rPr>
              <w:t>Weaknesse</w:t>
            </w:r>
            <w:r w:rsidR="00051E8B">
              <w:rPr>
                <w:rFonts w:ascii="Times New Roman" w:hAnsi="Times New Roman" w:cs="Times New Roman"/>
                <w:b/>
                <w:sz w:val="24"/>
                <w:szCs w:val="24"/>
              </w:rPr>
              <w:t xml:space="preserve">s </w:t>
            </w:r>
          </w:p>
          <w:p w:rsidR="007D37C6" w:rsidRPr="00645774" w:rsidRDefault="007D37C6" w:rsidP="00056465">
            <w:pPr>
              <w:pStyle w:val="ListParagraph"/>
              <w:numPr>
                <w:ilvl w:val="0"/>
                <w:numId w:val="4"/>
              </w:numPr>
              <w:rPr>
                <w:rFonts w:ascii="Times New Roman" w:hAnsi="Times New Roman" w:cs="Times New Roman"/>
                <w:b/>
                <w:sz w:val="24"/>
                <w:szCs w:val="24"/>
              </w:rPr>
            </w:pPr>
            <w:r w:rsidRPr="00D125C7">
              <w:rPr>
                <w:rFonts w:ascii="Times New Roman" w:hAnsi="Times New Roman" w:cs="Times New Roman"/>
                <w:sz w:val="24"/>
                <w:szCs w:val="24"/>
              </w:rPr>
              <w:t>lacks an elaborate public relation unit to help address the consumer changes in preferences against the soft drink</w:t>
            </w:r>
          </w:p>
          <w:p w:rsidR="007D37C6" w:rsidRDefault="008F57E4" w:rsidP="0005646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the current capital structure results in increases the operation cost because of t</w:t>
            </w:r>
            <w:r w:rsidR="0097130E">
              <w:rPr>
                <w:rFonts w:ascii="Times New Roman" w:hAnsi="Times New Roman" w:cs="Times New Roman"/>
                <w:sz w:val="24"/>
                <w:szCs w:val="24"/>
              </w:rPr>
              <w:t xml:space="preserve">he need to pay dividends contrary to </w:t>
            </w:r>
            <w:proofErr w:type="spellStart"/>
            <w:r w:rsidR="0097130E">
              <w:rPr>
                <w:rFonts w:ascii="Times New Roman" w:hAnsi="Times New Roman" w:cs="Times New Roman"/>
                <w:sz w:val="24"/>
                <w:szCs w:val="24"/>
              </w:rPr>
              <w:t>ploughing</w:t>
            </w:r>
            <w:proofErr w:type="spellEnd"/>
            <w:r w:rsidR="0097130E">
              <w:rPr>
                <w:rFonts w:ascii="Times New Roman" w:hAnsi="Times New Roman" w:cs="Times New Roman"/>
                <w:sz w:val="24"/>
                <w:szCs w:val="24"/>
              </w:rPr>
              <w:t xml:space="preserve"> back additional revenue</w:t>
            </w:r>
          </w:p>
          <w:p w:rsidR="0097130E" w:rsidRDefault="0097130E" w:rsidP="0005646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small-scale nature of the </w:t>
            </w:r>
            <w:proofErr w:type="spellStart"/>
            <w:r>
              <w:rPr>
                <w:rFonts w:ascii="Times New Roman" w:hAnsi="Times New Roman" w:cs="Times New Roman"/>
                <w:sz w:val="24"/>
                <w:szCs w:val="24"/>
              </w:rPr>
              <w:t>Kevian</w:t>
            </w:r>
            <w:proofErr w:type="spellEnd"/>
            <w:r>
              <w:rPr>
                <w:rFonts w:ascii="Times New Roman" w:hAnsi="Times New Roman" w:cs="Times New Roman"/>
                <w:sz w:val="24"/>
                <w:szCs w:val="24"/>
              </w:rPr>
              <w:t xml:space="preserve"> Beverage Company subject the business to high employee turnover because of talent poaching from large corporations </w:t>
            </w:r>
          </w:p>
          <w:p w:rsidR="0097130E" w:rsidRPr="00645774" w:rsidRDefault="0097130E" w:rsidP="0005646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the company lacks patent to </w:t>
            </w:r>
            <w:r w:rsidR="00F640A8">
              <w:rPr>
                <w:rFonts w:ascii="Times New Roman" w:hAnsi="Times New Roman" w:cs="Times New Roman"/>
                <w:sz w:val="24"/>
                <w:szCs w:val="24"/>
              </w:rPr>
              <w:t>critical technological inventions, which limits the ability to utilize such advancements</w:t>
            </w:r>
          </w:p>
          <w:p w:rsidR="00645774" w:rsidRPr="00645774" w:rsidRDefault="00645774" w:rsidP="00056465">
            <w:pPr>
              <w:pStyle w:val="ListParagraph"/>
              <w:rPr>
                <w:rFonts w:ascii="Times New Roman" w:hAnsi="Times New Roman" w:cs="Times New Roman"/>
                <w:b/>
                <w:sz w:val="24"/>
                <w:szCs w:val="24"/>
              </w:rPr>
            </w:pPr>
          </w:p>
        </w:tc>
      </w:tr>
      <w:tr w:rsidR="00051E8B" w:rsidTr="00051E8B">
        <w:tc>
          <w:tcPr>
            <w:tcW w:w="4788" w:type="dxa"/>
          </w:tcPr>
          <w:p w:rsidR="00051E8B" w:rsidRDefault="00051E8B" w:rsidP="00056465">
            <w:pPr>
              <w:jc w:val="center"/>
              <w:rPr>
                <w:rFonts w:ascii="Times New Roman" w:hAnsi="Times New Roman" w:cs="Times New Roman"/>
                <w:b/>
                <w:sz w:val="24"/>
                <w:szCs w:val="24"/>
              </w:rPr>
            </w:pPr>
            <w:r>
              <w:rPr>
                <w:rFonts w:ascii="Times New Roman" w:hAnsi="Times New Roman" w:cs="Times New Roman"/>
                <w:b/>
                <w:sz w:val="24"/>
                <w:szCs w:val="24"/>
              </w:rPr>
              <w:t xml:space="preserve">Opportunities </w:t>
            </w:r>
          </w:p>
          <w:p w:rsidR="00A3287C" w:rsidRDefault="00A3287C" w:rsidP="000564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Technological advancement </w:t>
            </w:r>
          </w:p>
          <w:p w:rsidR="00051E8B" w:rsidRPr="00645774" w:rsidRDefault="00A3287C" w:rsidP="000564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Steady I</w:t>
            </w:r>
            <w:r w:rsidR="00A75673" w:rsidRPr="00D125C7">
              <w:rPr>
                <w:rFonts w:ascii="Times New Roman" w:hAnsi="Times New Roman" w:cs="Times New Roman"/>
                <w:sz w:val="24"/>
                <w:szCs w:val="24"/>
              </w:rPr>
              <w:t>nnovation</w:t>
            </w:r>
            <w:r>
              <w:rPr>
                <w:rFonts w:ascii="Times New Roman" w:hAnsi="Times New Roman" w:cs="Times New Roman"/>
                <w:sz w:val="24"/>
                <w:szCs w:val="24"/>
              </w:rPr>
              <w:t xml:space="preserve"> in the beverage industry </w:t>
            </w:r>
          </w:p>
          <w:p w:rsidR="00645774" w:rsidRPr="00645774" w:rsidRDefault="00A75673" w:rsidP="00056465">
            <w:pPr>
              <w:pStyle w:val="ListParagraph"/>
              <w:numPr>
                <w:ilvl w:val="0"/>
                <w:numId w:val="5"/>
              </w:numPr>
              <w:rPr>
                <w:rFonts w:ascii="Times New Roman" w:hAnsi="Times New Roman" w:cs="Times New Roman"/>
                <w:sz w:val="24"/>
                <w:szCs w:val="24"/>
              </w:rPr>
            </w:pPr>
            <w:r w:rsidRPr="00D125C7">
              <w:rPr>
                <w:rFonts w:ascii="Times New Roman" w:hAnsi="Times New Roman" w:cs="Times New Roman"/>
                <w:sz w:val="24"/>
                <w:szCs w:val="24"/>
              </w:rPr>
              <w:t>Steady economic growth in the Midwest region</w:t>
            </w:r>
          </w:p>
          <w:p w:rsidR="00645774" w:rsidRPr="00645774" w:rsidRDefault="0037245B" w:rsidP="00056465">
            <w:pPr>
              <w:pStyle w:val="ListParagraph"/>
              <w:numPr>
                <w:ilvl w:val="0"/>
                <w:numId w:val="5"/>
              </w:numPr>
              <w:rPr>
                <w:rFonts w:ascii="Times New Roman" w:hAnsi="Times New Roman" w:cs="Times New Roman"/>
                <w:sz w:val="24"/>
                <w:szCs w:val="24"/>
              </w:rPr>
            </w:pPr>
            <w:r w:rsidRPr="00D125C7">
              <w:rPr>
                <w:rFonts w:ascii="Times New Roman" w:hAnsi="Times New Roman" w:cs="Times New Roman"/>
                <w:sz w:val="24"/>
                <w:szCs w:val="24"/>
              </w:rPr>
              <w:t>New market segments</w:t>
            </w:r>
          </w:p>
          <w:p w:rsidR="00645774" w:rsidRPr="0021789C" w:rsidRDefault="0037245B" w:rsidP="000564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Actionable changes in social purviews </w:t>
            </w:r>
            <w:r>
              <w:rPr>
                <w:rFonts w:ascii="Times New Roman" w:hAnsi="Times New Roman" w:cs="Times New Roman"/>
                <w:sz w:val="24"/>
                <w:szCs w:val="24"/>
              </w:rPr>
              <w:lastRenderedPageBreak/>
              <w:t>that include demand for healthy beverages</w:t>
            </w:r>
            <w:r w:rsidR="009579D5">
              <w:rPr>
                <w:rFonts w:ascii="Times New Roman" w:hAnsi="Times New Roman" w:cs="Times New Roman"/>
                <w:sz w:val="24"/>
                <w:szCs w:val="24"/>
              </w:rPr>
              <w:t xml:space="preserve">, increased employment rate in the Midwest region, which creates increases the market demand for </w:t>
            </w:r>
            <w:r w:rsidR="0021789C">
              <w:rPr>
                <w:rFonts w:ascii="Times New Roman" w:hAnsi="Times New Roman" w:cs="Times New Roman"/>
                <w:sz w:val="24"/>
                <w:szCs w:val="24"/>
              </w:rPr>
              <w:t xml:space="preserve">the non-alcoholic beverages </w:t>
            </w:r>
            <w:r>
              <w:rPr>
                <w:rFonts w:ascii="Times New Roman" w:hAnsi="Times New Roman" w:cs="Times New Roman"/>
                <w:sz w:val="24"/>
                <w:szCs w:val="24"/>
              </w:rPr>
              <w:t xml:space="preserve"> </w:t>
            </w:r>
          </w:p>
        </w:tc>
        <w:tc>
          <w:tcPr>
            <w:tcW w:w="4788" w:type="dxa"/>
          </w:tcPr>
          <w:p w:rsidR="00645774" w:rsidRDefault="00051E8B" w:rsidP="00056465">
            <w:pPr>
              <w:jc w:val="center"/>
              <w:rPr>
                <w:rFonts w:ascii="Times New Roman" w:hAnsi="Times New Roman" w:cs="Times New Roman"/>
                <w:b/>
                <w:sz w:val="24"/>
                <w:szCs w:val="24"/>
              </w:rPr>
            </w:pPr>
            <w:r w:rsidRPr="00051E8B">
              <w:rPr>
                <w:rFonts w:ascii="Times New Roman" w:hAnsi="Times New Roman" w:cs="Times New Roman"/>
                <w:b/>
                <w:sz w:val="24"/>
                <w:szCs w:val="24"/>
              </w:rPr>
              <w:lastRenderedPageBreak/>
              <w:t xml:space="preserve">Threats </w:t>
            </w:r>
          </w:p>
          <w:p w:rsidR="007D37C6" w:rsidRPr="0064020F" w:rsidRDefault="007D37C6" w:rsidP="00056465">
            <w:pPr>
              <w:pStyle w:val="ListParagraph"/>
              <w:numPr>
                <w:ilvl w:val="0"/>
                <w:numId w:val="4"/>
              </w:numPr>
              <w:rPr>
                <w:rFonts w:ascii="Times New Roman" w:hAnsi="Times New Roman" w:cs="Times New Roman"/>
                <w:sz w:val="24"/>
                <w:szCs w:val="24"/>
              </w:rPr>
            </w:pPr>
            <w:r w:rsidRPr="0064020F">
              <w:rPr>
                <w:rFonts w:ascii="Times New Roman" w:hAnsi="Times New Roman" w:cs="Times New Roman"/>
                <w:sz w:val="24"/>
                <w:szCs w:val="24"/>
              </w:rPr>
              <w:t>Adverse consumer perceptions about the health standards</w:t>
            </w:r>
            <w:r>
              <w:rPr>
                <w:rFonts w:ascii="Times New Roman" w:hAnsi="Times New Roman" w:cs="Times New Roman"/>
                <w:sz w:val="24"/>
                <w:szCs w:val="24"/>
              </w:rPr>
              <w:t xml:space="preserve">, which reduces the demand for sweetened beverages including the </w:t>
            </w:r>
            <w:proofErr w:type="spellStart"/>
            <w:r>
              <w:rPr>
                <w:rFonts w:ascii="Times New Roman" w:hAnsi="Times New Roman" w:cs="Times New Roman"/>
                <w:sz w:val="24"/>
                <w:szCs w:val="24"/>
              </w:rPr>
              <w:t>Kevian</w:t>
            </w:r>
            <w:proofErr w:type="spellEnd"/>
            <w:r>
              <w:rPr>
                <w:rFonts w:ascii="Times New Roman" w:hAnsi="Times New Roman" w:cs="Times New Roman"/>
                <w:sz w:val="24"/>
                <w:szCs w:val="24"/>
              </w:rPr>
              <w:t xml:space="preserve"> Sodas and Juices</w:t>
            </w:r>
          </w:p>
          <w:p w:rsidR="007D37C6" w:rsidRPr="00645774" w:rsidRDefault="007D37C6" w:rsidP="00056465">
            <w:pPr>
              <w:pStyle w:val="ListParagraph"/>
              <w:numPr>
                <w:ilvl w:val="0"/>
                <w:numId w:val="4"/>
              </w:numPr>
              <w:rPr>
                <w:rFonts w:ascii="Times New Roman" w:hAnsi="Times New Roman" w:cs="Times New Roman"/>
                <w:sz w:val="24"/>
                <w:szCs w:val="24"/>
              </w:rPr>
            </w:pPr>
            <w:r w:rsidRPr="00D125C7">
              <w:rPr>
                <w:rFonts w:ascii="Times New Roman" w:hAnsi="Times New Roman" w:cs="Times New Roman"/>
                <w:sz w:val="24"/>
                <w:szCs w:val="24"/>
              </w:rPr>
              <w:t>Cutthroat direct as well as indirect competition from multinational entities that include Coc</w:t>
            </w:r>
            <w:r>
              <w:rPr>
                <w:rFonts w:ascii="Times New Roman" w:hAnsi="Times New Roman" w:cs="Times New Roman"/>
                <w:sz w:val="24"/>
                <w:szCs w:val="24"/>
              </w:rPr>
              <w:t xml:space="preserve">a-Cola, Pepsi, and Red </w:t>
            </w:r>
            <w:r>
              <w:rPr>
                <w:rFonts w:ascii="Times New Roman" w:hAnsi="Times New Roman" w:cs="Times New Roman"/>
                <w:sz w:val="24"/>
                <w:szCs w:val="24"/>
              </w:rPr>
              <w:lastRenderedPageBreak/>
              <w:t>Bull</w:t>
            </w:r>
          </w:p>
          <w:p w:rsidR="007D37C6" w:rsidRPr="00645774" w:rsidRDefault="007D37C6" w:rsidP="00056465">
            <w:pPr>
              <w:pStyle w:val="ListParagraph"/>
              <w:numPr>
                <w:ilvl w:val="0"/>
                <w:numId w:val="4"/>
              </w:numPr>
              <w:rPr>
                <w:rFonts w:ascii="Times New Roman" w:hAnsi="Times New Roman" w:cs="Times New Roman"/>
                <w:sz w:val="24"/>
                <w:szCs w:val="24"/>
              </w:rPr>
            </w:pPr>
            <w:r w:rsidRPr="00D125C7">
              <w:rPr>
                <w:rFonts w:ascii="Times New Roman" w:hAnsi="Times New Roman" w:cs="Times New Roman"/>
                <w:sz w:val="24"/>
                <w:szCs w:val="24"/>
              </w:rPr>
              <w:t>Stringent law and standards that increase the cost of compliance</w:t>
            </w:r>
          </w:p>
          <w:p w:rsidR="007D37C6" w:rsidRDefault="007D37C6" w:rsidP="00056465">
            <w:pPr>
              <w:pStyle w:val="ListParagraph"/>
              <w:numPr>
                <w:ilvl w:val="0"/>
                <w:numId w:val="4"/>
              </w:numPr>
              <w:rPr>
                <w:rFonts w:ascii="Times New Roman" w:hAnsi="Times New Roman" w:cs="Times New Roman"/>
                <w:sz w:val="24"/>
                <w:szCs w:val="24"/>
              </w:rPr>
            </w:pPr>
            <w:r w:rsidRPr="00D125C7">
              <w:rPr>
                <w:rFonts w:ascii="Times New Roman" w:hAnsi="Times New Roman" w:cs="Times New Roman"/>
                <w:sz w:val="24"/>
                <w:szCs w:val="24"/>
              </w:rPr>
              <w:t>Imitation and contraband products</w:t>
            </w:r>
          </w:p>
          <w:p w:rsidR="00056465" w:rsidRDefault="00056465" w:rsidP="00056465">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Inappropriate fiscal and monetary policies from the Federal and States governments that hamper emerging start-up businesses </w:t>
            </w:r>
          </w:p>
          <w:p w:rsidR="00645774" w:rsidRPr="00056465" w:rsidRDefault="00645774" w:rsidP="00056465">
            <w:pPr>
              <w:rPr>
                <w:rFonts w:ascii="Times New Roman" w:hAnsi="Times New Roman" w:cs="Times New Roman"/>
                <w:sz w:val="24"/>
                <w:szCs w:val="24"/>
              </w:rPr>
            </w:pPr>
          </w:p>
        </w:tc>
      </w:tr>
    </w:tbl>
    <w:p w:rsidR="007449EA" w:rsidRDefault="007449EA" w:rsidP="00BD3239">
      <w:pPr>
        <w:spacing w:line="480" w:lineRule="auto"/>
        <w:rPr>
          <w:rFonts w:ascii="Times New Roman" w:hAnsi="Times New Roman" w:cs="Times New Roman"/>
          <w:b/>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347AA0" w:rsidRDefault="00347AA0" w:rsidP="00985433">
      <w:pPr>
        <w:spacing w:line="480" w:lineRule="auto"/>
        <w:jc w:val="center"/>
        <w:rPr>
          <w:rFonts w:ascii="Times New Roman" w:hAnsi="Times New Roman" w:cs="Times New Roman"/>
          <w:sz w:val="24"/>
          <w:szCs w:val="24"/>
        </w:rPr>
      </w:pPr>
    </w:p>
    <w:p w:rsidR="000C7ED9" w:rsidRDefault="000C7ED9" w:rsidP="009854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85433" w:rsidRPr="00985433" w:rsidRDefault="00985433" w:rsidP="00985433">
      <w:pPr>
        <w:spacing w:line="480" w:lineRule="auto"/>
        <w:ind w:left="720" w:hanging="720"/>
        <w:rPr>
          <w:rFonts w:ascii="Times New Roman" w:hAnsi="Times New Roman" w:cs="Times New Roman"/>
          <w:sz w:val="24"/>
          <w:szCs w:val="24"/>
        </w:rPr>
      </w:pPr>
      <w:proofErr w:type="gramStart"/>
      <w:r w:rsidRPr="00985433">
        <w:rPr>
          <w:rFonts w:ascii="Times New Roman" w:hAnsi="Times New Roman" w:cs="Times New Roman"/>
          <w:sz w:val="24"/>
          <w:szCs w:val="24"/>
        </w:rPr>
        <w:t>Grand View Research.</w:t>
      </w:r>
      <w:proofErr w:type="gramEnd"/>
      <w:r w:rsidRPr="00985433">
        <w:rPr>
          <w:rFonts w:ascii="Times New Roman" w:hAnsi="Times New Roman" w:cs="Times New Roman"/>
          <w:sz w:val="24"/>
          <w:szCs w:val="24"/>
        </w:rPr>
        <w:t xml:space="preserve"> (2018). “U.S. Soft Drinks Market Size, Share &amp; Trends Analysis Report By Product (Carbonated Drinks, Packaged Water, Iced/RTD Tea Drinks, Fruit Beverages, Energy Drinks) And Segment Forecasts, 2018 – 2025,” AUTHOR. Retrieved from</w:t>
      </w:r>
      <w:r w:rsidRPr="00985433">
        <w:rPr>
          <w:rFonts w:ascii="Times New Roman" w:hAnsi="Times New Roman" w:cs="Times New Roman"/>
          <w:i/>
          <w:sz w:val="24"/>
          <w:szCs w:val="24"/>
        </w:rPr>
        <w:t xml:space="preserve"> </w:t>
      </w:r>
      <w:hyperlink r:id="rId9" w:history="1">
        <w:r w:rsidRPr="00985433">
          <w:rPr>
            <w:rStyle w:val="Hyperlink"/>
            <w:rFonts w:ascii="Times New Roman" w:hAnsi="Times New Roman" w:cs="Times New Roman"/>
            <w:i/>
            <w:sz w:val="24"/>
            <w:szCs w:val="24"/>
          </w:rPr>
          <w:t>www.grandviewresearch.com/industry-analysis/us-soft-drinks-market</w:t>
        </w:r>
      </w:hyperlink>
      <w:r w:rsidRPr="00985433">
        <w:rPr>
          <w:rFonts w:ascii="Times New Roman" w:hAnsi="Times New Roman" w:cs="Times New Roman"/>
          <w:i/>
          <w:sz w:val="24"/>
          <w:szCs w:val="24"/>
        </w:rPr>
        <w:t xml:space="preserve"> [ACCESSED October 18, 2018]</w:t>
      </w:r>
    </w:p>
    <w:p w:rsidR="00985433" w:rsidRPr="00985433" w:rsidRDefault="00985433" w:rsidP="00985433">
      <w:pPr>
        <w:spacing w:line="480" w:lineRule="auto"/>
        <w:ind w:left="720" w:hanging="720"/>
        <w:rPr>
          <w:rFonts w:ascii="Times New Roman" w:hAnsi="Times New Roman" w:cs="Times New Roman"/>
          <w:sz w:val="24"/>
          <w:szCs w:val="24"/>
        </w:rPr>
      </w:pPr>
      <w:r w:rsidRPr="00985433">
        <w:rPr>
          <w:rFonts w:ascii="Times New Roman" w:hAnsi="Times New Roman" w:cs="Times New Roman"/>
          <w:sz w:val="24"/>
          <w:szCs w:val="24"/>
        </w:rPr>
        <w:t xml:space="preserve">Hill, C., Schilling, M. &amp; Jones, G. (2017). </w:t>
      </w:r>
      <w:r w:rsidRPr="00985433">
        <w:rPr>
          <w:rFonts w:ascii="Times New Roman" w:hAnsi="Times New Roman" w:cs="Times New Roman"/>
          <w:i/>
          <w:sz w:val="24"/>
          <w:szCs w:val="24"/>
        </w:rPr>
        <w:t xml:space="preserve">Strategic management theory, </w:t>
      </w:r>
      <w:r w:rsidRPr="00985433">
        <w:rPr>
          <w:rFonts w:ascii="Times New Roman" w:hAnsi="Times New Roman" w:cs="Times New Roman"/>
          <w:sz w:val="24"/>
          <w:szCs w:val="24"/>
        </w:rPr>
        <w:t>(13</w:t>
      </w:r>
      <w:r w:rsidRPr="00985433">
        <w:rPr>
          <w:rFonts w:ascii="Times New Roman" w:hAnsi="Times New Roman" w:cs="Times New Roman"/>
          <w:sz w:val="24"/>
          <w:szCs w:val="24"/>
          <w:vertAlign w:val="superscript"/>
        </w:rPr>
        <w:t>th</w:t>
      </w:r>
      <w:r w:rsidRPr="00985433">
        <w:rPr>
          <w:rFonts w:ascii="Times New Roman" w:hAnsi="Times New Roman" w:cs="Times New Roman"/>
          <w:sz w:val="24"/>
          <w:szCs w:val="24"/>
        </w:rPr>
        <w:t xml:space="preserve"> Edition), </w:t>
      </w:r>
      <w:proofErr w:type="spellStart"/>
      <w:r w:rsidRPr="00985433">
        <w:rPr>
          <w:rFonts w:ascii="Times New Roman" w:hAnsi="Times New Roman" w:cs="Times New Roman"/>
          <w:sz w:val="24"/>
          <w:szCs w:val="24"/>
        </w:rPr>
        <w:t>Boston</w:t>
      </w:r>
      <w:proofErr w:type="gramStart"/>
      <w:r w:rsidRPr="00985433">
        <w:rPr>
          <w:rFonts w:ascii="Times New Roman" w:hAnsi="Times New Roman" w:cs="Times New Roman"/>
          <w:sz w:val="24"/>
          <w:szCs w:val="24"/>
        </w:rPr>
        <w:t>:MA</w:t>
      </w:r>
      <w:proofErr w:type="spellEnd"/>
      <w:proofErr w:type="gramEnd"/>
      <w:r w:rsidRPr="00985433">
        <w:rPr>
          <w:rFonts w:ascii="Times New Roman" w:hAnsi="Times New Roman" w:cs="Times New Roman"/>
          <w:sz w:val="24"/>
          <w:szCs w:val="24"/>
        </w:rPr>
        <w:t xml:space="preserve">, </w:t>
      </w:r>
      <w:proofErr w:type="spellStart"/>
      <w:r w:rsidRPr="00985433">
        <w:rPr>
          <w:rFonts w:ascii="Times New Roman" w:hAnsi="Times New Roman" w:cs="Times New Roman"/>
          <w:sz w:val="24"/>
          <w:szCs w:val="24"/>
        </w:rPr>
        <w:t>Cengage</w:t>
      </w:r>
      <w:proofErr w:type="spellEnd"/>
      <w:r w:rsidRPr="00985433">
        <w:rPr>
          <w:rFonts w:ascii="Times New Roman" w:hAnsi="Times New Roman" w:cs="Times New Roman"/>
          <w:sz w:val="24"/>
          <w:szCs w:val="24"/>
        </w:rPr>
        <w:t xml:space="preserve"> Learning</w:t>
      </w:r>
    </w:p>
    <w:p w:rsidR="00985433" w:rsidRPr="00985433" w:rsidRDefault="00985433" w:rsidP="00985433">
      <w:pPr>
        <w:spacing w:line="480" w:lineRule="auto"/>
        <w:ind w:left="720" w:hanging="720"/>
        <w:rPr>
          <w:rFonts w:ascii="Times New Roman" w:hAnsi="Times New Roman" w:cs="Times New Roman"/>
          <w:sz w:val="24"/>
          <w:szCs w:val="24"/>
        </w:rPr>
      </w:pPr>
      <w:proofErr w:type="gramStart"/>
      <w:r w:rsidRPr="00985433">
        <w:rPr>
          <w:rFonts w:ascii="Times New Roman" w:hAnsi="Times New Roman" w:cs="Times New Roman"/>
          <w:sz w:val="24"/>
          <w:szCs w:val="24"/>
        </w:rPr>
        <w:t>Kirkpatrick, S. (2016).</w:t>
      </w:r>
      <w:proofErr w:type="gramEnd"/>
      <w:r w:rsidRPr="00985433">
        <w:rPr>
          <w:rFonts w:ascii="Times New Roman" w:hAnsi="Times New Roman" w:cs="Times New Roman"/>
          <w:sz w:val="24"/>
          <w:szCs w:val="24"/>
        </w:rPr>
        <w:t xml:space="preserve"> </w:t>
      </w:r>
      <w:r w:rsidRPr="00985433">
        <w:rPr>
          <w:rFonts w:ascii="Times New Roman" w:hAnsi="Times New Roman" w:cs="Times New Roman"/>
          <w:i/>
          <w:iCs/>
          <w:sz w:val="24"/>
          <w:szCs w:val="24"/>
        </w:rPr>
        <w:t>Build a better vision statement: Extending research with practical advice</w:t>
      </w:r>
      <w:r w:rsidRPr="00985433">
        <w:rPr>
          <w:rFonts w:ascii="Times New Roman" w:hAnsi="Times New Roman" w:cs="Times New Roman"/>
          <w:sz w:val="24"/>
          <w:szCs w:val="24"/>
        </w:rPr>
        <w:t>. Lanham: Lexington Books</w:t>
      </w:r>
    </w:p>
    <w:p w:rsidR="00985433" w:rsidRPr="00985433" w:rsidRDefault="00985433" w:rsidP="00985433">
      <w:pPr>
        <w:spacing w:line="480" w:lineRule="auto"/>
        <w:ind w:left="720" w:hanging="720"/>
        <w:rPr>
          <w:rFonts w:ascii="Times New Roman" w:hAnsi="Times New Roman" w:cs="Times New Roman"/>
          <w:sz w:val="24"/>
          <w:szCs w:val="24"/>
        </w:rPr>
      </w:pPr>
      <w:proofErr w:type="spellStart"/>
      <w:proofErr w:type="gramStart"/>
      <w:r w:rsidRPr="00985433">
        <w:rPr>
          <w:rFonts w:ascii="Times New Roman" w:hAnsi="Times New Roman" w:cs="Times New Roman"/>
          <w:sz w:val="24"/>
          <w:szCs w:val="24"/>
        </w:rPr>
        <w:t>Kotler</w:t>
      </w:r>
      <w:proofErr w:type="spellEnd"/>
      <w:r w:rsidRPr="00985433">
        <w:rPr>
          <w:rFonts w:ascii="Times New Roman" w:hAnsi="Times New Roman" w:cs="Times New Roman"/>
          <w:sz w:val="24"/>
          <w:szCs w:val="24"/>
        </w:rPr>
        <w:t>, P., &amp; Armstrong, G. (2017).</w:t>
      </w:r>
      <w:proofErr w:type="gramEnd"/>
      <w:r w:rsidRPr="00985433">
        <w:rPr>
          <w:rFonts w:ascii="Times New Roman" w:hAnsi="Times New Roman" w:cs="Times New Roman"/>
          <w:sz w:val="24"/>
          <w:szCs w:val="24"/>
        </w:rPr>
        <w:t xml:space="preserve"> </w:t>
      </w:r>
      <w:r w:rsidRPr="00985433">
        <w:rPr>
          <w:rFonts w:ascii="Times New Roman" w:hAnsi="Times New Roman" w:cs="Times New Roman"/>
          <w:i/>
          <w:iCs/>
          <w:sz w:val="24"/>
          <w:szCs w:val="24"/>
        </w:rPr>
        <w:t>Principles of marketing</w:t>
      </w:r>
      <w:r w:rsidRPr="00985433">
        <w:rPr>
          <w:rFonts w:ascii="Times New Roman" w:hAnsi="Times New Roman" w:cs="Times New Roman"/>
          <w:sz w:val="24"/>
          <w:szCs w:val="24"/>
        </w:rPr>
        <w:t>, Upper Saddle River, Pearson</w:t>
      </w:r>
    </w:p>
    <w:p w:rsidR="00985433" w:rsidRPr="00985433" w:rsidRDefault="00985433" w:rsidP="00985433">
      <w:pPr>
        <w:spacing w:line="480" w:lineRule="auto"/>
        <w:ind w:left="720" w:hanging="720"/>
        <w:rPr>
          <w:rFonts w:ascii="Times New Roman" w:hAnsi="Times New Roman" w:cs="Times New Roman"/>
          <w:sz w:val="24"/>
          <w:szCs w:val="24"/>
        </w:rPr>
      </w:pPr>
      <w:proofErr w:type="spellStart"/>
      <w:r w:rsidRPr="00985433">
        <w:rPr>
          <w:rFonts w:ascii="Times New Roman" w:hAnsi="Times New Roman" w:cs="Times New Roman"/>
          <w:sz w:val="24"/>
          <w:szCs w:val="24"/>
        </w:rPr>
        <w:t>Mudde</w:t>
      </w:r>
      <w:proofErr w:type="spellEnd"/>
      <w:r w:rsidRPr="00985433">
        <w:rPr>
          <w:rFonts w:ascii="Times New Roman" w:hAnsi="Times New Roman" w:cs="Times New Roman"/>
          <w:sz w:val="24"/>
          <w:szCs w:val="24"/>
        </w:rPr>
        <w:t xml:space="preserve">, J. (2018 July 7). “Global soft drinks market: Going sugar free,” </w:t>
      </w:r>
      <w:r w:rsidRPr="00985433">
        <w:rPr>
          <w:rFonts w:ascii="Times New Roman" w:hAnsi="Times New Roman" w:cs="Times New Roman"/>
          <w:i/>
          <w:sz w:val="24"/>
          <w:szCs w:val="24"/>
        </w:rPr>
        <w:t xml:space="preserve">The Market Mogul. </w:t>
      </w:r>
      <w:r w:rsidRPr="00985433">
        <w:rPr>
          <w:rFonts w:ascii="Times New Roman" w:hAnsi="Times New Roman" w:cs="Times New Roman"/>
          <w:sz w:val="24"/>
          <w:szCs w:val="24"/>
        </w:rPr>
        <w:t xml:space="preserve">Retrieved from </w:t>
      </w:r>
      <w:hyperlink r:id="rId10" w:history="1">
        <w:r w:rsidRPr="00985433">
          <w:rPr>
            <w:rStyle w:val="Hyperlink"/>
            <w:rFonts w:ascii="Times New Roman" w:hAnsi="Times New Roman" w:cs="Times New Roman"/>
            <w:sz w:val="24"/>
            <w:szCs w:val="24"/>
          </w:rPr>
          <w:t>www.themarketmogul.com/global-soft-drinks-market-new-trends/</w:t>
        </w:r>
      </w:hyperlink>
      <w:r w:rsidRPr="00985433">
        <w:rPr>
          <w:rFonts w:ascii="Times New Roman" w:hAnsi="Times New Roman" w:cs="Times New Roman"/>
          <w:i/>
          <w:sz w:val="24"/>
          <w:szCs w:val="24"/>
        </w:rPr>
        <w:t>[ACCESSED October 18, 2018]</w:t>
      </w:r>
    </w:p>
    <w:p w:rsidR="00985433" w:rsidRPr="00985433" w:rsidRDefault="00985433" w:rsidP="00985433">
      <w:pPr>
        <w:spacing w:line="480" w:lineRule="auto"/>
        <w:ind w:left="720" w:hanging="720"/>
        <w:rPr>
          <w:rFonts w:ascii="Times New Roman" w:hAnsi="Times New Roman" w:cs="Times New Roman"/>
          <w:b/>
          <w:sz w:val="24"/>
          <w:szCs w:val="24"/>
        </w:rPr>
      </w:pPr>
      <w:proofErr w:type="spellStart"/>
      <w:r w:rsidRPr="00985433">
        <w:rPr>
          <w:rFonts w:ascii="Times New Roman" w:hAnsi="Times New Roman" w:cs="Times New Roman"/>
          <w:sz w:val="24"/>
          <w:szCs w:val="24"/>
        </w:rPr>
        <w:t>Reuvid</w:t>
      </w:r>
      <w:proofErr w:type="spellEnd"/>
      <w:r w:rsidRPr="00985433">
        <w:rPr>
          <w:rFonts w:ascii="Times New Roman" w:hAnsi="Times New Roman" w:cs="Times New Roman"/>
          <w:sz w:val="24"/>
          <w:szCs w:val="24"/>
        </w:rPr>
        <w:t xml:space="preserve">, J. (2013). </w:t>
      </w:r>
      <w:proofErr w:type="gramStart"/>
      <w:r w:rsidRPr="00985433">
        <w:rPr>
          <w:rFonts w:ascii="Times New Roman" w:hAnsi="Times New Roman" w:cs="Times New Roman"/>
          <w:i/>
          <w:iCs/>
          <w:sz w:val="24"/>
          <w:szCs w:val="24"/>
        </w:rPr>
        <w:t>Managing business risk: A practical guide to protecting your business</w:t>
      </w:r>
      <w:r w:rsidRPr="00985433">
        <w:rPr>
          <w:rFonts w:ascii="Times New Roman" w:hAnsi="Times New Roman" w:cs="Times New Roman"/>
          <w:sz w:val="24"/>
          <w:szCs w:val="24"/>
        </w:rPr>
        <w:t>.</w:t>
      </w:r>
      <w:proofErr w:type="gramEnd"/>
      <w:r w:rsidRPr="00985433">
        <w:rPr>
          <w:rFonts w:ascii="Times New Roman" w:hAnsi="Times New Roman" w:cs="Times New Roman"/>
          <w:sz w:val="24"/>
          <w:szCs w:val="24"/>
        </w:rPr>
        <w:t xml:space="preserve"> </w:t>
      </w:r>
      <w:proofErr w:type="gramStart"/>
      <w:r w:rsidRPr="00985433">
        <w:rPr>
          <w:rFonts w:ascii="Times New Roman" w:hAnsi="Times New Roman" w:cs="Times New Roman"/>
          <w:sz w:val="24"/>
          <w:szCs w:val="24"/>
        </w:rPr>
        <w:t xml:space="preserve">London: </w:t>
      </w:r>
      <w:proofErr w:type="spellStart"/>
      <w:r w:rsidRPr="00985433">
        <w:rPr>
          <w:rFonts w:ascii="Times New Roman" w:hAnsi="Times New Roman" w:cs="Times New Roman"/>
          <w:sz w:val="24"/>
          <w:szCs w:val="24"/>
        </w:rPr>
        <w:t>Kogan</w:t>
      </w:r>
      <w:proofErr w:type="spellEnd"/>
      <w:r w:rsidRPr="00985433">
        <w:rPr>
          <w:rFonts w:ascii="Times New Roman" w:hAnsi="Times New Roman" w:cs="Times New Roman"/>
          <w:sz w:val="24"/>
          <w:szCs w:val="24"/>
        </w:rPr>
        <w:t xml:space="preserve"> Page.</w:t>
      </w:r>
      <w:proofErr w:type="gramEnd"/>
    </w:p>
    <w:p w:rsidR="00985433" w:rsidRPr="00985433" w:rsidRDefault="00985433" w:rsidP="00985433">
      <w:pPr>
        <w:spacing w:line="480" w:lineRule="auto"/>
        <w:ind w:left="720" w:hanging="720"/>
        <w:rPr>
          <w:rFonts w:ascii="Times New Roman" w:hAnsi="Times New Roman" w:cs="Times New Roman"/>
          <w:sz w:val="24"/>
          <w:szCs w:val="24"/>
        </w:rPr>
      </w:pPr>
      <w:hyperlink r:id="rId11" w:history="1">
        <w:r w:rsidRPr="00985433">
          <w:rPr>
            <w:rStyle w:val="Hyperlink"/>
            <w:rFonts w:ascii="Times New Roman" w:hAnsi="Times New Roman" w:cs="Times New Roman"/>
            <w:color w:val="auto"/>
            <w:sz w:val="24"/>
            <w:szCs w:val="24"/>
            <w:u w:val="none"/>
          </w:rPr>
          <w:t>Suarez</w:t>
        </w:r>
      </w:hyperlink>
      <w:r w:rsidRPr="00985433">
        <w:rPr>
          <w:rFonts w:ascii="Times New Roman" w:hAnsi="Times New Roman" w:cs="Times New Roman"/>
          <w:sz w:val="24"/>
          <w:szCs w:val="24"/>
        </w:rPr>
        <w:t>, F. &amp;</w:t>
      </w:r>
      <w:hyperlink r:id="rId12" w:history="1">
        <w:r w:rsidRPr="00985433">
          <w:rPr>
            <w:rStyle w:val="Hyperlink"/>
            <w:rFonts w:ascii="Times New Roman" w:hAnsi="Times New Roman" w:cs="Times New Roman"/>
            <w:sz w:val="24"/>
            <w:szCs w:val="24"/>
          </w:rPr>
          <w:t xml:space="preserve"> </w:t>
        </w:r>
        <w:proofErr w:type="spellStart"/>
        <w:r w:rsidRPr="00985433">
          <w:rPr>
            <w:rStyle w:val="Hyperlink"/>
            <w:rFonts w:ascii="Times New Roman" w:hAnsi="Times New Roman" w:cs="Times New Roman"/>
            <w:color w:val="auto"/>
            <w:sz w:val="24"/>
            <w:szCs w:val="24"/>
            <w:u w:val="none"/>
          </w:rPr>
          <w:t>Lanzolla</w:t>
        </w:r>
        <w:proofErr w:type="spellEnd"/>
      </w:hyperlink>
      <w:r w:rsidRPr="00985433">
        <w:rPr>
          <w:rFonts w:ascii="Times New Roman" w:hAnsi="Times New Roman" w:cs="Times New Roman"/>
          <w:sz w:val="24"/>
          <w:szCs w:val="24"/>
        </w:rPr>
        <w:t xml:space="preserve">, G. (April 2015). “The half-truth of first-mover advantage,” </w:t>
      </w:r>
      <w:r w:rsidRPr="00985433">
        <w:rPr>
          <w:rFonts w:ascii="Times New Roman" w:hAnsi="Times New Roman" w:cs="Times New Roman"/>
          <w:i/>
          <w:sz w:val="24"/>
          <w:szCs w:val="24"/>
        </w:rPr>
        <w:t xml:space="preserve">The Harvard Business Review, </w:t>
      </w:r>
      <w:r w:rsidRPr="00985433">
        <w:rPr>
          <w:rFonts w:ascii="Times New Roman" w:hAnsi="Times New Roman" w:cs="Times New Roman"/>
          <w:sz w:val="24"/>
          <w:szCs w:val="24"/>
        </w:rPr>
        <w:t>April Issue</w:t>
      </w:r>
    </w:p>
    <w:p w:rsidR="000C7ED9" w:rsidRPr="000C7ED9" w:rsidRDefault="000C7ED9" w:rsidP="00BD3239">
      <w:pPr>
        <w:spacing w:line="480" w:lineRule="auto"/>
        <w:rPr>
          <w:rFonts w:ascii="Times New Roman" w:hAnsi="Times New Roman" w:cs="Times New Roman"/>
          <w:sz w:val="24"/>
          <w:szCs w:val="24"/>
        </w:rPr>
      </w:pPr>
    </w:p>
    <w:sectPr w:rsidR="000C7ED9" w:rsidRPr="000C7ED9" w:rsidSect="00D56028">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718" w:rsidRDefault="00BF1718" w:rsidP="00D56028">
      <w:pPr>
        <w:spacing w:after="0" w:line="240" w:lineRule="auto"/>
      </w:pPr>
      <w:r>
        <w:separator/>
      </w:r>
    </w:p>
  </w:endnote>
  <w:endnote w:type="continuationSeparator" w:id="0">
    <w:p w:rsidR="00BF1718" w:rsidRDefault="00BF1718" w:rsidP="00D56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718" w:rsidRDefault="00BF1718" w:rsidP="00D56028">
      <w:pPr>
        <w:spacing w:after="0" w:line="240" w:lineRule="auto"/>
      </w:pPr>
      <w:r>
        <w:separator/>
      </w:r>
    </w:p>
  </w:footnote>
  <w:footnote w:type="continuationSeparator" w:id="0">
    <w:p w:rsidR="00BF1718" w:rsidRDefault="00BF1718" w:rsidP="00D560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979" w:rsidRPr="00C73B6C" w:rsidRDefault="00A63979">
    <w:pPr>
      <w:pStyle w:val="Header"/>
      <w:rPr>
        <w:rFonts w:ascii="Times New Roman" w:hAnsi="Times New Roman" w:cs="Times New Roman"/>
        <w:sz w:val="24"/>
        <w:szCs w:val="24"/>
      </w:rPr>
    </w:pPr>
    <w:r>
      <w:rPr>
        <w:rFonts w:ascii="Times New Roman" w:hAnsi="Times New Roman" w:cs="Times New Roman"/>
        <w:sz w:val="24"/>
        <w:szCs w:val="24"/>
      </w:rPr>
      <w:t>NAB DESCRIPTION, DISTRIB</w:t>
    </w:r>
    <w:r w:rsidRPr="003B5EC1">
      <w:rPr>
        <w:rFonts w:ascii="Times New Roman" w:hAnsi="Times New Roman" w:cs="Times New Roman"/>
        <w:sz w:val="24"/>
        <w:szCs w:val="24"/>
      </w:rPr>
      <w:t>UTION, S.W.O.T, AND RISK PLAN</w:t>
    </w:r>
    <w:r w:rsidR="00347AA0">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347AA0">
      <w:rPr>
        <w:rFonts w:ascii="Times New Roman" w:hAnsi="Times New Roman" w:cs="Times New Roman"/>
        <w:sz w:val="24"/>
        <w:szCs w:val="24"/>
      </w:rPr>
      <w:t xml:space="preserve">     </w:t>
    </w:r>
    <w:r w:rsidR="00347AA0">
      <w:rPr>
        <w:rFonts w:ascii="Times New Roman" w:hAnsi="Times New Roman" w:cs="Times New Roman"/>
        <w:sz w:val="24"/>
        <w:szCs w:val="24"/>
      </w:rPr>
      <w:tab/>
    </w:r>
    <w:r>
      <w:rPr>
        <w:rFonts w:ascii="Times New Roman" w:hAnsi="Times New Roman" w:cs="Times New Roman"/>
        <w:sz w:val="24"/>
        <w:szCs w:val="24"/>
      </w:rPr>
      <w:t xml:space="preserve"> </w:t>
    </w:r>
    <w:r w:rsidRPr="00A05E30">
      <w:rPr>
        <w:rFonts w:ascii="Times New Roman" w:hAnsi="Times New Roman" w:cs="Times New Roman"/>
        <w:sz w:val="24"/>
        <w:szCs w:val="24"/>
      </w:rPr>
      <w:fldChar w:fldCharType="begin"/>
    </w:r>
    <w:r w:rsidRPr="00A05E30">
      <w:rPr>
        <w:rFonts w:ascii="Times New Roman" w:hAnsi="Times New Roman" w:cs="Times New Roman"/>
        <w:sz w:val="24"/>
        <w:szCs w:val="24"/>
      </w:rPr>
      <w:instrText xml:space="preserve"> PAGE   \* MERGEFORMAT </w:instrText>
    </w:r>
    <w:r w:rsidRPr="00A05E30">
      <w:rPr>
        <w:rFonts w:ascii="Times New Roman" w:hAnsi="Times New Roman" w:cs="Times New Roman"/>
        <w:sz w:val="24"/>
        <w:szCs w:val="24"/>
      </w:rPr>
      <w:fldChar w:fldCharType="separate"/>
    </w:r>
    <w:r w:rsidR="00CC250B">
      <w:rPr>
        <w:rFonts w:ascii="Times New Roman" w:hAnsi="Times New Roman" w:cs="Times New Roman"/>
        <w:noProof/>
        <w:sz w:val="24"/>
        <w:szCs w:val="24"/>
      </w:rPr>
      <w:t>5</w:t>
    </w:r>
    <w:r w:rsidRPr="00A05E3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979" w:rsidRPr="003B5EC1" w:rsidRDefault="00A63979">
    <w:pPr>
      <w:pStyle w:val="Header"/>
      <w:rPr>
        <w:rFonts w:ascii="Times New Roman" w:hAnsi="Times New Roman" w:cs="Times New Roman"/>
        <w:sz w:val="24"/>
        <w:szCs w:val="24"/>
      </w:rPr>
    </w:pPr>
    <w:r w:rsidRPr="003B5EC1">
      <w:rPr>
        <w:rFonts w:ascii="Times New Roman" w:hAnsi="Times New Roman" w:cs="Times New Roman"/>
        <w:sz w:val="24"/>
        <w:szCs w:val="24"/>
      </w:rPr>
      <w:t>R</w:t>
    </w:r>
    <w:r>
      <w:rPr>
        <w:rFonts w:ascii="Times New Roman" w:hAnsi="Times New Roman" w:cs="Times New Roman"/>
        <w:sz w:val="24"/>
        <w:szCs w:val="24"/>
      </w:rPr>
      <w:t>unning Head: NAB DESCRIPTION, DISTRIB</w:t>
    </w:r>
    <w:r w:rsidRPr="003B5EC1">
      <w:rPr>
        <w:rFonts w:ascii="Times New Roman" w:hAnsi="Times New Roman" w:cs="Times New Roman"/>
        <w:sz w:val="24"/>
        <w:szCs w:val="24"/>
      </w:rPr>
      <w:t>UTION, S.W.O.T, AND RISK PLAN</w:t>
    </w:r>
    <w:r>
      <w:rPr>
        <w:rFonts w:ascii="Times New Roman" w:hAnsi="Times New Roman" w:cs="Times New Roman"/>
        <w:sz w:val="24"/>
        <w:szCs w:val="24"/>
      </w:rPr>
      <w:tab/>
    </w:r>
    <w:r>
      <w:rPr>
        <w:rFonts w:ascii="Times New Roman" w:hAnsi="Times New Roman" w:cs="Times New Roman"/>
        <w:sz w:val="24"/>
        <w:szCs w:val="24"/>
      </w:rPr>
      <w:tab/>
      <w:t xml:space="preserve">     </w:t>
    </w:r>
    <w:r w:rsidRPr="00A05E30">
      <w:rPr>
        <w:rFonts w:ascii="Times New Roman" w:hAnsi="Times New Roman" w:cs="Times New Roman"/>
        <w:sz w:val="24"/>
        <w:szCs w:val="24"/>
      </w:rPr>
      <w:fldChar w:fldCharType="begin"/>
    </w:r>
    <w:r w:rsidRPr="00A05E30">
      <w:rPr>
        <w:rFonts w:ascii="Times New Roman" w:hAnsi="Times New Roman" w:cs="Times New Roman"/>
        <w:sz w:val="24"/>
        <w:szCs w:val="24"/>
      </w:rPr>
      <w:instrText xml:space="preserve"> PAGE   \* MERGEFORMAT </w:instrText>
    </w:r>
    <w:r w:rsidRPr="00A05E30">
      <w:rPr>
        <w:rFonts w:ascii="Times New Roman" w:hAnsi="Times New Roman" w:cs="Times New Roman"/>
        <w:sz w:val="24"/>
        <w:szCs w:val="24"/>
      </w:rPr>
      <w:fldChar w:fldCharType="separate"/>
    </w:r>
    <w:r w:rsidR="00347AA0">
      <w:rPr>
        <w:rFonts w:ascii="Times New Roman" w:hAnsi="Times New Roman" w:cs="Times New Roman"/>
        <w:noProof/>
        <w:sz w:val="24"/>
        <w:szCs w:val="24"/>
      </w:rPr>
      <w:t>1</w:t>
    </w:r>
    <w:r w:rsidRPr="00A05E3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974"/>
    <w:multiLevelType w:val="hybridMultilevel"/>
    <w:tmpl w:val="B37C3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0130A6"/>
    <w:multiLevelType w:val="hybridMultilevel"/>
    <w:tmpl w:val="3198F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A24E55"/>
    <w:multiLevelType w:val="hybridMultilevel"/>
    <w:tmpl w:val="9D4E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026697"/>
    <w:multiLevelType w:val="hybridMultilevel"/>
    <w:tmpl w:val="16820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BE1CB8"/>
    <w:multiLevelType w:val="hybridMultilevel"/>
    <w:tmpl w:val="04687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ED2F11"/>
    <w:multiLevelType w:val="hybridMultilevel"/>
    <w:tmpl w:val="CC764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57173E4"/>
    <w:multiLevelType w:val="hybridMultilevel"/>
    <w:tmpl w:val="5F968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1A9"/>
    <w:rsid w:val="0004370B"/>
    <w:rsid w:val="00051E8B"/>
    <w:rsid w:val="00056465"/>
    <w:rsid w:val="00091866"/>
    <w:rsid w:val="000A1A8C"/>
    <w:rsid w:val="000A748C"/>
    <w:rsid w:val="000C3F76"/>
    <w:rsid w:val="000C7ED9"/>
    <w:rsid w:val="000E513D"/>
    <w:rsid w:val="00103711"/>
    <w:rsid w:val="00107404"/>
    <w:rsid w:val="001139B7"/>
    <w:rsid w:val="00115E3A"/>
    <w:rsid w:val="00130A6D"/>
    <w:rsid w:val="00140526"/>
    <w:rsid w:val="00152254"/>
    <w:rsid w:val="00162C87"/>
    <w:rsid w:val="00164D08"/>
    <w:rsid w:val="001A0C12"/>
    <w:rsid w:val="001B21A2"/>
    <w:rsid w:val="001D7EEC"/>
    <w:rsid w:val="001F1579"/>
    <w:rsid w:val="001F39E4"/>
    <w:rsid w:val="0021789C"/>
    <w:rsid w:val="002300CD"/>
    <w:rsid w:val="002435D6"/>
    <w:rsid w:val="00250AAD"/>
    <w:rsid w:val="002531A9"/>
    <w:rsid w:val="002654A4"/>
    <w:rsid w:val="002770A3"/>
    <w:rsid w:val="0029035E"/>
    <w:rsid w:val="00293CB4"/>
    <w:rsid w:val="002B03F9"/>
    <w:rsid w:val="002B0907"/>
    <w:rsid w:val="002B65C6"/>
    <w:rsid w:val="002D57C3"/>
    <w:rsid w:val="00315FB4"/>
    <w:rsid w:val="00340CE8"/>
    <w:rsid w:val="003469CC"/>
    <w:rsid w:val="00347AA0"/>
    <w:rsid w:val="0037245B"/>
    <w:rsid w:val="003A473C"/>
    <w:rsid w:val="003B5EC1"/>
    <w:rsid w:val="003E2079"/>
    <w:rsid w:val="003E5539"/>
    <w:rsid w:val="003F7721"/>
    <w:rsid w:val="00403521"/>
    <w:rsid w:val="0041131F"/>
    <w:rsid w:val="00420219"/>
    <w:rsid w:val="004204E6"/>
    <w:rsid w:val="004242B3"/>
    <w:rsid w:val="0043061A"/>
    <w:rsid w:val="004459F8"/>
    <w:rsid w:val="00456C0E"/>
    <w:rsid w:val="00471C00"/>
    <w:rsid w:val="0049002D"/>
    <w:rsid w:val="004A2138"/>
    <w:rsid w:val="004B6BED"/>
    <w:rsid w:val="004C665A"/>
    <w:rsid w:val="005135AD"/>
    <w:rsid w:val="00517EF1"/>
    <w:rsid w:val="00540738"/>
    <w:rsid w:val="0054184D"/>
    <w:rsid w:val="00553C28"/>
    <w:rsid w:val="005916EE"/>
    <w:rsid w:val="005A5E9D"/>
    <w:rsid w:val="005D07EE"/>
    <w:rsid w:val="005E5CD7"/>
    <w:rsid w:val="005F143B"/>
    <w:rsid w:val="005F38A2"/>
    <w:rsid w:val="00600D76"/>
    <w:rsid w:val="00601471"/>
    <w:rsid w:val="006213C7"/>
    <w:rsid w:val="00627729"/>
    <w:rsid w:val="0063091F"/>
    <w:rsid w:val="0064020F"/>
    <w:rsid w:val="00645774"/>
    <w:rsid w:val="006676F2"/>
    <w:rsid w:val="0067666C"/>
    <w:rsid w:val="0069719B"/>
    <w:rsid w:val="006A04FD"/>
    <w:rsid w:val="006B4FC6"/>
    <w:rsid w:val="006C43F5"/>
    <w:rsid w:val="006F2D98"/>
    <w:rsid w:val="006F4A54"/>
    <w:rsid w:val="006F798A"/>
    <w:rsid w:val="00717C09"/>
    <w:rsid w:val="00735138"/>
    <w:rsid w:val="0073702F"/>
    <w:rsid w:val="007449EA"/>
    <w:rsid w:val="007466CC"/>
    <w:rsid w:val="007542AE"/>
    <w:rsid w:val="00755CF3"/>
    <w:rsid w:val="00766341"/>
    <w:rsid w:val="0076799C"/>
    <w:rsid w:val="007A1694"/>
    <w:rsid w:val="007A6921"/>
    <w:rsid w:val="007B3C8E"/>
    <w:rsid w:val="007B3F42"/>
    <w:rsid w:val="007C1AA8"/>
    <w:rsid w:val="007D37C6"/>
    <w:rsid w:val="007D3EF8"/>
    <w:rsid w:val="007E3727"/>
    <w:rsid w:val="007F0F5D"/>
    <w:rsid w:val="007F33E8"/>
    <w:rsid w:val="008551DC"/>
    <w:rsid w:val="00857426"/>
    <w:rsid w:val="008D178E"/>
    <w:rsid w:val="008D33A9"/>
    <w:rsid w:val="008E0A84"/>
    <w:rsid w:val="008E4AA4"/>
    <w:rsid w:val="008F4D49"/>
    <w:rsid w:val="008F57E4"/>
    <w:rsid w:val="009026FB"/>
    <w:rsid w:val="00904DF2"/>
    <w:rsid w:val="009077E6"/>
    <w:rsid w:val="00907C11"/>
    <w:rsid w:val="00920D16"/>
    <w:rsid w:val="0093395D"/>
    <w:rsid w:val="009514C2"/>
    <w:rsid w:val="009579D5"/>
    <w:rsid w:val="009635D5"/>
    <w:rsid w:val="0096384D"/>
    <w:rsid w:val="00967EEF"/>
    <w:rsid w:val="0097130E"/>
    <w:rsid w:val="0098243D"/>
    <w:rsid w:val="00982D4A"/>
    <w:rsid w:val="00984940"/>
    <w:rsid w:val="00985433"/>
    <w:rsid w:val="009A3FA9"/>
    <w:rsid w:val="009A5A16"/>
    <w:rsid w:val="00A05E30"/>
    <w:rsid w:val="00A07870"/>
    <w:rsid w:val="00A1236D"/>
    <w:rsid w:val="00A239A4"/>
    <w:rsid w:val="00A25A38"/>
    <w:rsid w:val="00A3287C"/>
    <w:rsid w:val="00A63979"/>
    <w:rsid w:val="00A75673"/>
    <w:rsid w:val="00A8795A"/>
    <w:rsid w:val="00A9325C"/>
    <w:rsid w:val="00A953BF"/>
    <w:rsid w:val="00AA3CF6"/>
    <w:rsid w:val="00AC194B"/>
    <w:rsid w:val="00AD05C4"/>
    <w:rsid w:val="00AE13C4"/>
    <w:rsid w:val="00AF0675"/>
    <w:rsid w:val="00AF549F"/>
    <w:rsid w:val="00B04FD2"/>
    <w:rsid w:val="00B40EC3"/>
    <w:rsid w:val="00B43314"/>
    <w:rsid w:val="00B47607"/>
    <w:rsid w:val="00B84A1F"/>
    <w:rsid w:val="00B9283B"/>
    <w:rsid w:val="00BA2347"/>
    <w:rsid w:val="00BB2276"/>
    <w:rsid w:val="00BC2A60"/>
    <w:rsid w:val="00BD3239"/>
    <w:rsid w:val="00BF0B18"/>
    <w:rsid w:val="00BF1718"/>
    <w:rsid w:val="00C000B2"/>
    <w:rsid w:val="00C0291E"/>
    <w:rsid w:val="00C04659"/>
    <w:rsid w:val="00C12D9C"/>
    <w:rsid w:val="00C137EB"/>
    <w:rsid w:val="00C2099C"/>
    <w:rsid w:val="00C64F6A"/>
    <w:rsid w:val="00C73B6C"/>
    <w:rsid w:val="00C93164"/>
    <w:rsid w:val="00C962EA"/>
    <w:rsid w:val="00CA612B"/>
    <w:rsid w:val="00CB4DAD"/>
    <w:rsid w:val="00CC250B"/>
    <w:rsid w:val="00CE1DB6"/>
    <w:rsid w:val="00CE3479"/>
    <w:rsid w:val="00CE4A71"/>
    <w:rsid w:val="00CE587F"/>
    <w:rsid w:val="00D14240"/>
    <w:rsid w:val="00D30DA6"/>
    <w:rsid w:val="00D3191D"/>
    <w:rsid w:val="00D33E2B"/>
    <w:rsid w:val="00D412F1"/>
    <w:rsid w:val="00D56028"/>
    <w:rsid w:val="00D61561"/>
    <w:rsid w:val="00D64E2C"/>
    <w:rsid w:val="00D77EB0"/>
    <w:rsid w:val="00DA67AD"/>
    <w:rsid w:val="00DB3376"/>
    <w:rsid w:val="00DC7A3E"/>
    <w:rsid w:val="00DE5E95"/>
    <w:rsid w:val="00DF426C"/>
    <w:rsid w:val="00DF7862"/>
    <w:rsid w:val="00E00FB5"/>
    <w:rsid w:val="00E0426D"/>
    <w:rsid w:val="00E3539A"/>
    <w:rsid w:val="00E35B63"/>
    <w:rsid w:val="00E50DA3"/>
    <w:rsid w:val="00E50EA3"/>
    <w:rsid w:val="00E73F28"/>
    <w:rsid w:val="00E86BFF"/>
    <w:rsid w:val="00EB3142"/>
    <w:rsid w:val="00EB382F"/>
    <w:rsid w:val="00EC09C5"/>
    <w:rsid w:val="00ED285A"/>
    <w:rsid w:val="00EE0921"/>
    <w:rsid w:val="00EF659F"/>
    <w:rsid w:val="00F029A4"/>
    <w:rsid w:val="00F0790B"/>
    <w:rsid w:val="00F27457"/>
    <w:rsid w:val="00F3392E"/>
    <w:rsid w:val="00F46357"/>
    <w:rsid w:val="00F50B42"/>
    <w:rsid w:val="00F51D29"/>
    <w:rsid w:val="00F608A4"/>
    <w:rsid w:val="00F640A8"/>
    <w:rsid w:val="00F67CF5"/>
    <w:rsid w:val="00F77136"/>
    <w:rsid w:val="00FA0434"/>
    <w:rsid w:val="00FB0FF0"/>
    <w:rsid w:val="00FB541A"/>
    <w:rsid w:val="00FC2539"/>
    <w:rsid w:val="00FC6287"/>
    <w:rsid w:val="00FD1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028"/>
  </w:style>
  <w:style w:type="table" w:styleId="TableGrid">
    <w:name w:val="Table Grid"/>
    <w:basedOn w:val="TableNormal"/>
    <w:uiPriority w:val="59"/>
    <w:rsid w:val="00250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654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4A4"/>
    <w:rPr>
      <w:rFonts w:ascii="Tahoma" w:hAnsi="Tahoma" w:cs="Tahoma"/>
      <w:sz w:val="16"/>
      <w:szCs w:val="16"/>
    </w:rPr>
  </w:style>
  <w:style w:type="paragraph" w:styleId="Caption">
    <w:name w:val="caption"/>
    <w:basedOn w:val="Normal"/>
    <w:next w:val="Normal"/>
    <w:uiPriority w:val="35"/>
    <w:unhideWhenUsed/>
    <w:qFormat/>
    <w:rsid w:val="002654A4"/>
    <w:pPr>
      <w:spacing w:line="240" w:lineRule="auto"/>
    </w:pPr>
    <w:rPr>
      <w:b/>
      <w:bCs/>
      <w:color w:val="4F81BD" w:themeColor="accent1"/>
      <w:sz w:val="18"/>
      <w:szCs w:val="18"/>
    </w:rPr>
  </w:style>
  <w:style w:type="paragraph" w:styleId="ListParagraph">
    <w:name w:val="List Paragraph"/>
    <w:basedOn w:val="Normal"/>
    <w:uiPriority w:val="34"/>
    <w:qFormat/>
    <w:rsid w:val="00051E8B"/>
    <w:pPr>
      <w:ind w:left="720"/>
      <w:contextualSpacing/>
    </w:pPr>
  </w:style>
  <w:style w:type="character" w:styleId="Hyperlink">
    <w:name w:val="Hyperlink"/>
    <w:basedOn w:val="DefaultParagraphFont"/>
    <w:uiPriority w:val="99"/>
    <w:unhideWhenUsed/>
    <w:rsid w:val="0098543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0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028"/>
  </w:style>
  <w:style w:type="paragraph" w:styleId="Footer">
    <w:name w:val="footer"/>
    <w:basedOn w:val="Normal"/>
    <w:link w:val="FooterChar"/>
    <w:uiPriority w:val="99"/>
    <w:unhideWhenUsed/>
    <w:rsid w:val="00D560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028"/>
  </w:style>
  <w:style w:type="table" w:styleId="TableGrid">
    <w:name w:val="Table Grid"/>
    <w:basedOn w:val="TableNormal"/>
    <w:uiPriority w:val="59"/>
    <w:rsid w:val="00250A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654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4A4"/>
    <w:rPr>
      <w:rFonts w:ascii="Tahoma" w:hAnsi="Tahoma" w:cs="Tahoma"/>
      <w:sz w:val="16"/>
      <w:szCs w:val="16"/>
    </w:rPr>
  </w:style>
  <w:style w:type="paragraph" w:styleId="Caption">
    <w:name w:val="caption"/>
    <w:basedOn w:val="Normal"/>
    <w:next w:val="Normal"/>
    <w:uiPriority w:val="35"/>
    <w:unhideWhenUsed/>
    <w:qFormat/>
    <w:rsid w:val="002654A4"/>
    <w:pPr>
      <w:spacing w:line="240" w:lineRule="auto"/>
    </w:pPr>
    <w:rPr>
      <w:b/>
      <w:bCs/>
      <w:color w:val="4F81BD" w:themeColor="accent1"/>
      <w:sz w:val="18"/>
      <w:szCs w:val="18"/>
    </w:rPr>
  </w:style>
  <w:style w:type="paragraph" w:styleId="ListParagraph">
    <w:name w:val="List Paragraph"/>
    <w:basedOn w:val="Normal"/>
    <w:uiPriority w:val="34"/>
    <w:qFormat/>
    <w:rsid w:val="00051E8B"/>
    <w:pPr>
      <w:ind w:left="720"/>
      <w:contextualSpacing/>
    </w:pPr>
  </w:style>
  <w:style w:type="character" w:styleId="Hyperlink">
    <w:name w:val="Hyperlink"/>
    <w:basedOn w:val="DefaultParagraphFont"/>
    <w:uiPriority w:val="99"/>
    <w:unhideWhenUsed/>
    <w:rsid w:val="0098543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hbr.org/search?term=gianvito%20lanzoll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hbr.org/search?term=fernando%20suarez"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hemarketmogul.com/global-soft-drinks-market-new-trends/" TargetMode="External"/><Relationship Id="rId4" Type="http://schemas.openxmlformats.org/officeDocument/2006/relationships/settings" Target="settings.xml"/><Relationship Id="rId9" Type="http://schemas.openxmlformats.org/officeDocument/2006/relationships/hyperlink" Target="http://www.grandviewresearch.com/industry-analysis/us-soft-drinks-marke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2324</Words>
  <Characters>13252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2018-10-17T13:23:00Z</dcterms:created>
  <dcterms:modified xsi:type="dcterms:W3CDTF">2018-10-19T17:45:00Z</dcterms:modified>
</cp:coreProperties>
</file>